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515C" w14:textId="77777777" w:rsidR="008C156F" w:rsidRPr="00270404" w:rsidRDefault="008C156F" w:rsidP="008C156F">
      <w:pPr>
        <w:ind w:left="709" w:hanging="709"/>
        <w:jc w:val="center"/>
        <w:rPr>
          <w:rFonts w:ascii="Aptos" w:eastAsia="Calibri" w:hAnsi="Aptos" w:cs="Calibri"/>
          <w:b/>
          <w:bCs/>
          <w:szCs w:val="24"/>
        </w:rPr>
      </w:pPr>
      <w:r w:rsidRPr="00270404">
        <w:rPr>
          <w:rFonts w:ascii="Aptos" w:eastAsia="Calibri" w:hAnsi="Aptos" w:cs="Calibri"/>
          <w:b/>
          <w:bCs/>
          <w:szCs w:val="24"/>
        </w:rPr>
        <w:t xml:space="preserve">CENTRAL FUND SUPPORT FOR COSTS ASSOCIATED WITH </w:t>
      </w:r>
    </w:p>
    <w:p w14:paraId="79AB33A0" w14:textId="77777777" w:rsidR="00750C26" w:rsidRPr="00270404" w:rsidRDefault="008C156F" w:rsidP="008C156F">
      <w:pPr>
        <w:ind w:left="709" w:hanging="709"/>
        <w:jc w:val="center"/>
        <w:rPr>
          <w:rFonts w:ascii="Aptos" w:eastAsia="Calibri" w:hAnsi="Aptos" w:cs="Calibri"/>
          <w:b/>
          <w:bCs/>
          <w:szCs w:val="24"/>
        </w:rPr>
      </w:pPr>
      <w:r w:rsidRPr="00270404">
        <w:rPr>
          <w:rFonts w:ascii="Aptos" w:eastAsia="Calibri" w:hAnsi="Aptos" w:cs="Calibri"/>
          <w:b/>
          <w:bCs/>
          <w:szCs w:val="24"/>
        </w:rPr>
        <w:t>INFECTIOUS DISEASE OUTBREAKS</w:t>
      </w:r>
    </w:p>
    <w:p w14:paraId="37E86F0C" w14:textId="77777777" w:rsidR="00750C26" w:rsidRPr="00270404" w:rsidRDefault="00750C26" w:rsidP="00750C26">
      <w:pPr>
        <w:rPr>
          <w:rFonts w:ascii="Aptos" w:eastAsia="Calibri" w:hAnsi="Aptos" w:cs="Calibri"/>
          <w:b/>
          <w:bCs/>
          <w:szCs w:val="24"/>
        </w:rPr>
      </w:pPr>
    </w:p>
    <w:p w14:paraId="6AF8E4D1" w14:textId="77777777" w:rsidR="008C156F" w:rsidRPr="00270404" w:rsidRDefault="008C156F" w:rsidP="00346083">
      <w:pPr>
        <w:numPr>
          <w:ilvl w:val="0"/>
          <w:numId w:val="22"/>
        </w:numPr>
        <w:ind w:left="0" w:firstLine="0"/>
        <w:jc w:val="both"/>
        <w:rPr>
          <w:rFonts w:ascii="Aptos" w:eastAsia="Calibri" w:hAnsi="Aptos" w:cs="Calibri"/>
          <w:szCs w:val="24"/>
        </w:rPr>
      </w:pPr>
      <w:r w:rsidRPr="00270404">
        <w:rPr>
          <w:rFonts w:ascii="Aptos" w:eastAsia="Calibri" w:hAnsi="Aptos" w:cs="Calibri"/>
          <w:szCs w:val="24"/>
        </w:rPr>
        <w:t xml:space="preserve">The Infectious Disease Central Fund is a jointly-funded function established to </w:t>
      </w:r>
      <w:r w:rsidR="00E60186" w:rsidRPr="00270404">
        <w:rPr>
          <w:rFonts w:ascii="Aptos" w:eastAsia="Calibri" w:hAnsi="Aptos" w:cs="Calibri"/>
          <w:szCs w:val="24"/>
        </w:rPr>
        <w:t xml:space="preserve">contribute towards </w:t>
      </w:r>
      <w:r w:rsidRPr="00270404">
        <w:rPr>
          <w:rFonts w:ascii="Aptos" w:eastAsia="Calibri" w:hAnsi="Aptos" w:cs="Calibri"/>
          <w:szCs w:val="24"/>
        </w:rPr>
        <w:t xml:space="preserve">the costs of diagnosis, monitoring and management of specific equine infectious diseases. The overarching aim is to help contain outbreaks of equine infectious disease in Great Britain in the interests of the health and welfare of the national herd and the economic implications of such an outbreak for the Thoroughbred industry. To encourage testing in such circumstances, the Fund may assist with the associated expenses subject to the following protocol. This protocol applies only to localised outbreaks, not to national epidemics for which a different approach would be appropriate. </w:t>
      </w:r>
    </w:p>
    <w:p w14:paraId="696F0E60" w14:textId="77777777" w:rsidR="008C156F" w:rsidRPr="00270404" w:rsidRDefault="008C156F" w:rsidP="00346083">
      <w:pPr>
        <w:jc w:val="both"/>
        <w:rPr>
          <w:rFonts w:ascii="Aptos" w:eastAsia="Calibri" w:hAnsi="Aptos" w:cs="Calibri"/>
          <w:szCs w:val="24"/>
        </w:rPr>
      </w:pPr>
    </w:p>
    <w:p w14:paraId="64875ACE" w14:textId="77777777" w:rsidR="00E60186" w:rsidRPr="00270404" w:rsidRDefault="008C156F" w:rsidP="00346083">
      <w:pPr>
        <w:jc w:val="both"/>
        <w:rPr>
          <w:rFonts w:ascii="Aptos" w:eastAsia="Calibri" w:hAnsi="Aptos" w:cs="Calibri"/>
          <w:szCs w:val="24"/>
        </w:rPr>
      </w:pPr>
      <w:r w:rsidRPr="00270404">
        <w:rPr>
          <w:rFonts w:ascii="Aptos" w:eastAsia="Calibri" w:hAnsi="Aptos" w:cs="Calibri"/>
          <w:szCs w:val="24"/>
        </w:rPr>
        <w:t xml:space="preserve">The contributors to the Fund are the Horserace Betting Levy Board (HBLB), </w:t>
      </w:r>
      <w:r w:rsidR="005C4899" w:rsidRPr="00270404">
        <w:rPr>
          <w:rFonts w:ascii="Aptos" w:eastAsia="Calibri" w:hAnsi="Aptos" w:cs="Calibri"/>
          <w:szCs w:val="24"/>
        </w:rPr>
        <w:t>R</w:t>
      </w:r>
      <w:r w:rsidRPr="00270404">
        <w:rPr>
          <w:rFonts w:ascii="Aptos" w:eastAsia="Calibri" w:hAnsi="Aptos" w:cs="Calibri"/>
          <w:szCs w:val="24"/>
        </w:rPr>
        <w:t xml:space="preserve">acehorse </w:t>
      </w:r>
      <w:r w:rsidR="005C4899" w:rsidRPr="00270404">
        <w:rPr>
          <w:rFonts w:ascii="Aptos" w:eastAsia="Calibri" w:hAnsi="Aptos" w:cs="Calibri"/>
          <w:szCs w:val="24"/>
        </w:rPr>
        <w:t>O</w:t>
      </w:r>
      <w:r w:rsidRPr="00270404">
        <w:rPr>
          <w:rFonts w:ascii="Aptos" w:eastAsia="Calibri" w:hAnsi="Aptos" w:cs="Calibri"/>
          <w:szCs w:val="24"/>
        </w:rPr>
        <w:t xml:space="preserve">wners and the Thoroughbred Breeders’ Association (TBA). </w:t>
      </w:r>
      <w:r w:rsidR="009D2299" w:rsidRPr="00270404">
        <w:rPr>
          <w:rFonts w:ascii="Aptos" w:eastAsia="Calibri" w:hAnsi="Aptos" w:cs="Calibri"/>
          <w:szCs w:val="24"/>
        </w:rPr>
        <w:t xml:space="preserve">The level of assistance given under this protocol is necessarily limited by the resources available to those bodies. </w:t>
      </w:r>
    </w:p>
    <w:p w14:paraId="37B37A30" w14:textId="77777777" w:rsidR="009D2299" w:rsidRPr="00270404" w:rsidRDefault="009D2299" w:rsidP="009D2299">
      <w:pPr>
        <w:ind w:left="709" w:firstLine="11"/>
        <w:jc w:val="both"/>
        <w:rPr>
          <w:rFonts w:ascii="Aptos" w:eastAsia="Calibri" w:hAnsi="Aptos" w:cs="Calibri"/>
          <w:szCs w:val="24"/>
        </w:rPr>
      </w:pPr>
    </w:p>
    <w:p w14:paraId="7B6345BF" w14:textId="77777777" w:rsidR="00E60186" w:rsidRPr="00270404" w:rsidRDefault="00E60186" w:rsidP="00346083">
      <w:pPr>
        <w:jc w:val="both"/>
        <w:rPr>
          <w:rFonts w:ascii="Aptos" w:eastAsia="Calibri" w:hAnsi="Aptos" w:cs="Calibri"/>
          <w:szCs w:val="24"/>
        </w:rPr>
      </w:pPr>
      <w:r w:rsidRPr="00270404">
        <w:rPr>
          <w:rFonts w:ascii="Aptos" w:eastAsia="Calibri" w:hAnsi="Aptos" w:cs="Calibri"/>
          <w:szCs w:val="24"/>
        </w:rPr>
        <w:t xml:space="preserve">The Fund is managed by the HBLB Equine Infectious Disease Surveillance Oversight Committee (EIDSOC). </w:t>
      </w:r>
    </w:p>
    <w:p w14:paraId="2A77A713" w14:textId="77777777" w:rsidR="008C156F" w:rsidRPr="00270404" w:rsidRDefault="008C156F" w:rsidP="00346083">
      <w:pPr>
        <w:jc w:val="both"/>
        <w:rPr>
          <w:rFonts w:ascii="Aptos" w:eastAsia="Calibri" w:hAnsi="Aptos" w:cs="Calibri"/>
          <w:szCs w:val="24"/>
        </w:rPr>
      </w:pPr>
    </w:p>
    <w:p w14:paraId="4B5152F4" w14:textId="77777777" w:rsidR="00750C26" w:rsidRPr="00270404" w:rsidRDefault="008C156F" w:rsidP="00346083">
      <w:pPr>
        <w:jc w:val="both"/>
        <w:rPr>
          <w:rFonts w:ascii="Aptos" w:eastAsia="Calibri" w:hAnsi="Aptos" w:cs="Calibri"/>
          <w:szCs w:val="24"/>
        </w:rPr>
      </w:pPr>
      <w:r w:rsidRPr="00270404">
        <w:rPr>
          <w:rFonts w:ascii="Aptos" w:eastAsia="Calibri" w:hAnsi="Aptos" w:cs="Calibri"/>
          <w:szCs w:val="24"/>
        </w:rPr>
        <w:t xml:space="preserve">This protocol has been endorsed by the </w:t>
      </w:r>
      <w:r w:rsidR="005C4899" w:rsidRPr="00270404">
        <w:rPr>
          <w:rFonts w:ascii="Aptos" w:eastAsia="Calibri" w:hAnsi="Aptos" w:cs="Calibri"/>
          <w:szCs w:val="24"/>
        </w:rPr>
        <w:t xml:space="preserve">HBLB, </w:t>
      </w:r>
      <w:r w:rsidRPr="00270404">
        <w:rPr>
          <w:rFonts w:ascii="Aptos" w:eastAsia="Calibri" w:hAnsi="Aptos" w:cs="Calibri"/>
          <w:szCs w:val="24"/>
        </w:rPr>
        <w:t xml:space="preserve">British Horseracing Authority (BHA), National Trainers Federation (NTF), Racehorse Owners Association (ROA) and TBA. </w:t>
      </w:r>
    </w:p>
    <w:p w14:paraId="09E82652" w14:textId="77777777" w:rsidR="008C156F" w:rsidRPr="00270404" w:rsidRDefault="008C156F" w:rsidP="006E47AB">
      <w:pPr>
        <w:ind w:left="709" w:firstLine="11"/>
        <w:jc w:val="both"/>
        <w:rPr>
          <w:rFonts w:ascii="Aptos" w:eastAsia="Calibri" w:hAnsi="Aptos" w:cs="Calibri"/>
          <w:szCs w:val="24"/>
        </w:rPr>
      </w:pPr>
    </w:p>
    <w:p w14:paraId="2A12DCCD" w14:textId="77777777" w:rsidR="00750C26" w:rsidRPr="00270404" w:rsidRDefault="00750C26" w:rsidP="006E47AB">
      <w:pPr>
        <w:jc w:val="both"/>
        <w:rPr>
          <w:rFonts w:ascii="Aptos" w:eastAsia="Calibri" w:hAnsi="Aptos" w:cs="Calibri"/>
          <w:b/>
          <w:bCs/>
          <w:szCs w:val="24"/>
        </w:rPr>
      </w:pPr>
      <w:r w:rsidRPr="00270404">
        <w:rPr>
          <w:rFonts w:ascii="Aptos" w:eastAsia="Calibri" w:hAnsi="Aptos" w:cs="Calibri"/>
          <w:b/>
          <w:bCs/>
          <w:szCs w:val="24"/>
        </w:rPr>
        <w:t xml:space="preserve">Limitations of the scope of this protocol. </w:t>
      </w:r>
    </w:p>
    <w:p w14:paraId="30AD631D" w14:textId="77777777" w:rsidR="008C156F" w:rsidRPr="00270404" w:rsidRDefault="00750C26" w:rsidP="006E47AB">
      <w:pPr>
        <w:ind w:left="709" w:hanging="709"/>
        <w:jc w:val="both"/>
        <w:rPr>
          <w:rFonts w:ascii="Aptos" w:eastAsia="Calibri" w:hAnsi="Aptos" w:cs="Calibri"/>
          <w:szCs w:val="24"/>
        </w:rPr>
      </w:pPr>
      <w:r w:rsidRPr="00270404">
        <w:rPr>
          <w:rFonts w:ascii="Aptos" w:eastAsia="Calibri" w:hAnsi="Aptos" w:cs="Calibri"/>
          <w:szCs w:val="24"/>
        </w:rPr>
        <w:t xml:space="preserve">2.  </w:t>
      </w:r>
      <w:r w:rsidRPr="00270404">
        <w:rPr>
          <w:rFonts w:ascii="Aptos" w:eastAsia="Calibri" w:hAnsi="Aptos" w:cs="Calibri"/>
          <w:szCs w:val="24"/>
        </w:rPr>
        <w:tab/>
        <w:t>This protocol applies to outbreaks of any of the following named diseases:</w:t>
      </w:r>
      <w:r w:rsidR="000272AD" w:rsidRPr="00270404">
        <w:rPr>
          <w:rFonts w:ascii="Aptos" w:eastAsia="Calibri" w:hAnsi="Aptos" w:cs="Calibri"/>
          <w:szCs w:val="24"/>
        </w:rPr>
        <w:t xml:space="preserve"> </w:t>
      </w:r>
    </w:p>
    <w:p w14:paraId="06C023AF" w14:textId="77777777" w:rsidR="0081458D" w:rsidRPr="00270404" w:rsidRDefault="0081458D" w:rsidP="006E47AB">
      <w:pPr>
        <w:ind w:left="709" w:hanging="709"/>
        <w:jc w:val="both"/>
        <w:rPr>
          <w:rFonts w:ascii="Aptos" w:eastAsia="Calibri" w:hAnsi="Aptos" w:cs="Calibri"/>
          <w:szCs w:val="24"/>
        </w:rPr>
      </w:pPr>
    </w:p>
    <w:p w14:paraId="1425A361" w14:textId="77777777" w:rsidR="008C156F" w:rsidRPr="00270404" w:rsidRDefault="000272AD" w:rsidP="006E47AB">
      <w:pPr>
        <w:ind w:left="720" w:firstLine="720"/>
        <w:jc w:val="both"/>
        <w:rPr>
          <w:rFonts w:ascii="Aptos" w:eastAsia="Calibri" w:hAnsi="Aptos" w:cs="Calibri"/>
          <w:szCs w:val="24"/>
          <w:lang w:val="pt-PT"/>
        </w:rPr>
      </w:pPr>
      <w:proofErr w:type="spellStart"/>
      <w:r w:rsidRPr="00270404">
        <w:rPr>
          <w:rFonts w:ascii="Aptos" w:eastAsia="Calibri" w:hAnsi="Aptos" w:cs="Calibri"/>
          <w:szCs w:val="24"/>
          <w:lang w:val="pt-PT"/>
        </w:rPr>
        <w:t>Contagious</w:t>
      </w:r>
      <w:proofErr w:type="spellEnd"/>
      <w:r w:rsidRPr="00270404">
        <w:rPr>
          <w:rFonts w:ascii="Aptos" w:eastAsia="Calibri" w:hAnsi="Aptos" w:cs="Calibri"/>
          <w:szCs w:val="24"/>
          <w:lang w:val="pt-PT"/>
        </w:rPr>
        <w:t xml:space="preserve"> Equine </w:t>
      </w:r>
      <w:proofErr w:type="spellStart"/>
      <w:r w:rsidRPr="00270404">
        <w:rPr>
          <w:rFonts w:ascii="Aptos" w:eastAsia="Calibri" w:hAnsi="Aptos" w:cs="Calibri"/>
          <w:szCs w:val="24"/>
          <w:lang w:val="pt-PT"/>
        </w:rPr>
        <w:t>Metritis</w:t>
      </w:r>
      <w:proofErr w:type="spellEnd"/>
      <w:r w:rsidR="008C156F" w:rsidRPr="00270404">
        <w:rPr>
          <w:rFonts w:ascii="Aptos" w:eastAsia="Calibri" w:hAnsi="Aptos" w:cs="Calibri"/>
          <w:szCs w:val="24"/>
          <w:lang w:val="pt-PT"/>
        </w:rPr>
        <w:tab/>
      </w:r>
      <w:r w:rsidR="008C156F" w:rsidRPr="00270404">
        <w:rPr>
          <w:rFonts w:ascii="Aptos" w:eastAsia="Calibri" w:hAnsi="Aptos" w:cs="Calibri"/>
          <w:szCs w:val="24"/>
          <w:lang w:val="pt-PT"/>
        </w:rPr>
        <w:tab/>
      </w:r>
      <w:r w:rsidR="00750C26" w:rsidRPr="00270404">
        <w:rPr>
          <w:rFonts w:ascii="Aptos" w:eastAsia="Calibri" w:hAnsi="Aptos" w:cs="Calibri"/>
          <w:szCs w:val="24"/>
          <w:lang w:val="pt-PT"/>
        </w:rPr>
        <w:t>Equine Influenz</w:t>
      </w:r>
      <w:r w:rsidR="00923F3A" w:rsidRPr="00270404">
        <w:rPr>
          <w:rFonts w:ascii="Aptos" w:eastAsia="Calibri" w:hAnsi="Aptos" w:cs="Calibri"/>
          <w:szCs w:val="24"/>
          <w:lang w:val="pt-PT"/>
        </w:rPr>
        <w:t>a</w:t>
      </w:r>
    </w:p>
    <w:p w14:paraId="02F97990" w14:textId="77777777" w:rsidR="008C156F" w:rsidRPr="00270404" w:rsidRDefault="00750C26" w:rsidP="006E47AB">
      <w:pPr>
        <w:ind w:left="720" w:firstLine="720"/>
        <w:jc w:val="both"/>
        <w:rPr>
          <w:rFonts w:ascii="Aptos" w:eastAsia="Calibri" w:hAnsi="Aptos" w:cs="Calibri"/>
          <w:szCs w:val="24"/>
          <w:lang w:val="pt-PT"/>
        </w:rPr>
      </w:pPr>
      <w:r w:rsidRPr="00270404">
        <w:rPr>
          <w:rFonts w:ascii="Aptos" w:eastAsia="Calibri" w:hAnsi="Aptos" w:cs="Calibri"/>
          <w:szCs w:val="24"/>
          <w:lang w:val="pt-PT"/>
        </w:rPr>
        <w:t xml:space="preserve">Equine Herpes </w:t>
      </w:r>
      <w:proofErr w:type="spellStart"/>
      <w:r w:rsidRPr="00270404">
        <w:rPr>
          <w:rFonts w:ascii="Aptos" w:eastAsia="Calibri" w:hAnsi="Aptos" w:cs="Calibri"/>
          <w:szCs w:val="24"/>
          <w:lang w:val="pt-PT"/>
        </w:rPr>
        <w:t>Virus</w:t>
      </w:r>
      <w:proofErr w:type="spellEnd"/>
      <w:r w:rsidRPr="00270404">
        <w:rPr>
          <w:rFonts w:ascii="Aptos" w:eastAsia="Calibri" w:hAnsi="Aptos" w:cs="Calibri"/>
          <w:szCs w:val="24"/>
          <w:lang w:val="pt-PT"/>
        </w:rPr>
        <w:t xml:space="preserve"> </w:t>
      </w:r>
      <w:r w:rsidR="008C156F" w:rsidRPr="00270404">
        <w:rPr>
          <w:rFonts w:ascii="Aptos" w:eastAsia="Calibri" w:hAnsi="Aptos" w:cs="Calibri"/>
          <w:szCs w:val="24"/>
          <w:lang w:val="pt-PT"/>
        </w:rPr>
        <w:tab/>
      </w:r>
      <w:r w:rsidR="008C156F" w:rsidRPr="00270404">
        <w:rPr>
          <w:rFonts w:ascii="Aptos" w:eastAsia="Calibri" w:hAnsi="Aptos" w:cs="Calibri"/>
          <w:szCs w:val="24"/>
          <w:lang w:val="pt-PT"/>
        </w:rPr>
        <w:tab/>
      </w:r>
      <w:r w:rsidR="008C156F" w:rsidRPr="00270404">
        <w:rPr>
          <w:rFonts w:ascii="Aptos" w:eastAsia="Calibri" w:hAnsi="Aptos" w:cs="Calibri"/>
          <w:szCs w:val="24"/>
          <w:lang w:val="pt-PT"/>
        </w:rPr>
        <w:tab/>
      </w:r>
      <w:proofErr w:type="spellStart"/>
      <w:r w:rsidRPr="00270404">
        <w:rPr>
          <w:rFonts w:ascii="Aptos" w:eastAsia="Calibri" w:hAnsi="Aptos" w:cs="Calibri"/>
          <w:szCs w:val="24"/>
          <w:lang w:val="pt-PT"/>
        </w:rPr>
        <w:t>Strangles</w:t>
      </w:r>
      <w:proofErr w:type="spellEnd"/>
    </w:p>
    <w:p w14:paraId="37B93B11" w14:textId="77777777" w:rsidR="00346083" w:rsidRPr="00270404" w:rsidRDefault="00346083" w:rsidP="006E47AB">
      <w:pPr>
        <w:pStyle w:val="Default"/>
        <w:ind w:left="709"/>
        <w:jc w:val="both"/>
        <w:rPr>
          <w:rFonts w:ascii="Aptos" w:hAnsi="Aptos"/>
          <w:color w:val="auto"/>
          <w:lang w:val="pt-PT"/>
        </w:rPr>
      </w:pPr>
    </w:p>
    <w:p w14:paraId="581BC608" w14:textId="77777777" w:rsidR="008C156F" w:rsidRPr="00270404" w:rsidRDefault="00346083" w:rsidP="00346083">
      <w:pPr>
        <w:pStyle w:val="Default"/>
        <w:jc w:val="both"/>
        <w:rPr>
          <w:rFonts w:ascii="Aptos" w:hAnsi="Aptos"/>
          <w:color w:val="auto"/>
        </w:rPr>
      </w:pPr>
      <w:r w:rsidRPr="00270404">
        <w:rPr>
          <w:rFonts w:ascii="Aptos" w:hAnsi="Aptos"/>
          <w:color w:val="auto"/>
        </w:rPr>
        <w:t>T</w:t>
      </w:r>
      <w:r w:rsidR="008C156F" w:rsidRPr="00270404">
        <w:rPr>
          <w:rFonts w:ascii="Aptos" w:hAnsi="Aptos"/>
          <w:color w:val="auto"/>
        </w:rPr>
        <w:t>his protocol applies to premises licensed by the BHA (</w:t>
      </w:r>
      <w:proofErr w:type="spellStart"/>
      <w:r w:rsidR="008C156F" w:rsidRPr="00270404">
        <w:rPr>
          <w:rFonts w:ascii="Aptos" w:hAnsi="Aptos"/>
          <w:color w:val="auto"/>
        </w:rPr>
        <w:t>ie</w:t>
      </w:r>
      <w:proofErr w:type="spellEnd"/>
      <w:r w:rsidR="008C156F" w:rsidRPr="00270404">
        <w:rPr>
          <w:rFonts w:ascii="Aptos" w:hAnsi="Aptos"/>
          <w:color w:val="auto"/>
        </w:rPr>
        <w:t xml:space="preserve"> licensed racehorse trainers) and to Thoroughbred breeding studs. </w:t>
      </w:r>
    </w:p>
    <w:p w14:paraId="3C88FCFE" w14:textId="77777777" w:rsidR="008C156F" w:rsidRPr="00270404" w:rsidRDefault="008C156F" w:rsidP="00346083">
      <w:pPr>
        <w:pStyle w:val="Default"/>
        <w:jc w:val="both"/>
        <w:rPr>
          <w:rFonts w:ascii="Aptos" w:hAnsi="Aptos"/>
          <w:color w:val="auto"/>
        </w:rPr>
      </w:pPr>
    </w:p>
    <w:p w14:paraId="6E5E7F2D" w14:textId="77777777" w:rsidR="008C156F" w:rsidRPr="00270404" w:rsidRDefault="008C156F" w:rsidP="00346083">
      <w:pPr>
        <w:pStyle w:val="Default"/>
        <w:jc w:val="both"/>
        <w:rPr>
          <w:rFonts w:ascii="Aptos" w:hAnsi="Aptos"/>
          <w:color w:val="auto"/>
        </w:rPr>
      </w:pPr>
      <w:r w:rsidRPr="00270404">
        <w:rPr>
          <w:rFonts w:ascii="Aptos" w:hAnsi="Aptos"/>
          <w:color w:val="auto"/>
        </w:rPr>
        <w:t xml:space="preserve">Exceptionally, consideration may be given to cases involving other premises which pose a high risk to Thoroughbred racing. Any decisions will be at the discretion of the </w:t>
      </w:r>
      <w:r w:rsidR="00E60186" w:rsidRPr="00270404">
        <w:rPr>
          <w:rFonts w:ascii="Aptos" w:hAnsi="Aptos"/>
          <w:color w:val="auto"/>
        </w:rPr>
        <w:t>EIDSOC</w:t>
      </w:r>
      <w:r w:rsidRPr="00270404">
        <w:rPr>
          <w:rFonts w:ascii="Aptos" w:hAnsi="Aptos"/>
          <w:color w:val="auto"/>
        </w:rPr>
        <w:t xml:space="preserve"> panel (see below). </w:t>
      </w:r>
    </w:p>
    <w:p w14:paraId="3A41D88F" w14:textId="77777777" w:rsidR="008C156F" w:rsidRPr="00270404" w:rsidRDefault="008C156F" w:rsidP="006E47AB">
      <w:pPr>
        <w:pStyle w:val="Default"/>
        <w:ind w:left="709"/>
        <w:jc w:val="both"/>
        <w:rPr>
          <w:rFonts w:ascii="Aptos" w:hAnsi="Aptos"/>
          <w:color w:val="auto"/>
        </w:rPr>
      </w:pPr>
    </w:p>
    <w:p w14:paraId="0B1DBF7E" w14:textId="77777777" w:rsidR="008C156F" w:rsidRPr="00270404" w:rsidRDefault="008C156F" w:rsidP="00346083">
      <w:pPr>
        <w:pStyle w:val="Default"/>
        <w:jc w:val="both"/>
        <w:rPr>
          <w:rFonts w:ascii="Aptos" w:hAnsi="Aptos"/>
          <w:color w:val="auto"/>
        </w:rPr>
      </w:pPr>
      <w:r w:rsidRPr="00270404">
        <w:rPr>
          <w:rFonts w:ascii="Aptos" w:hAnsi="Aptos"/>
          <w:color w:val="auto"/>
        </w:rPr>
        <w:t xml:space="preserve">Where outbreaks of other infectious disease affect the Thoroughbred industry, support from the Central Fund may be available and will be determined in consultation with all funders. This may extend to include investigations of emerging diseases or syndromes. </w:t>
      </w:r>
    </w:p>
    <w:p w14:paraId="0F47FA93" w14:textId="77777777" w:rsidR="006E47AB" w:rsidRPr="00270404" w:rsidRDefault="006E47AB" w:rsidP="00346083">
      <w:pPr>
        <w:pStyle w:val="Default"/>
        <w:jc w:val="both"/>
        <w:rPr>
          <w:rFonts w:ascii="Aptos" w:hAnsi="Aptos"/>
          <w:color w:val="auto"/>
        </w:rPr>
      </w:pPr>
    </w:p>
    <w:p w14:paraId="57649CE9" w14:textId="77777777" w:rsidR="006E47AB" w:rsidRPr="00270404" w:rsidRDefault="006E47AB" w:rsidP="00346083">
      <w:pPr>
        <w:pStyle w:val="Default"/>
        <w:jc w:val="both"/>
        <w:rPr>
          <w:rFonts w:ascii="Aptos" w:hAnsi="Aptos"/>
          <w:color w:val="auto"/>
        </w:rPr>
      </w:pPr>
      <w:r w:rsidRPr="00270404">
        <w:rPr>
          <w:rFonts w:ascii="Aptos" w:hAnsi="Aptos"/>
          <w:color w:val="auto"/>
        </w:rPr>
        <w:t xml:space="preserve">The Thoroughbred industry-funded Equine Infectious Disease Surveillance (EIDS) </w:t>
      </w:r>
      <w:r w:rsidR="005C4899" w:rsidRPr="00270404">
        <w:rPr>
          <w:rFonts w:ascii="Aptos" w:hAnsi="Aptos"/>
          <w:color w:val="auto"/>
        </w:rPr>
        <w:t>T</w:t>
      </w:r>
      <w:r w:rsidRPr="00270404">
        <w:rPr>
          <w:rFonts w:ascii="Aptos" w:hAnsi="Aptos"/>
          <w:color w:val="auto"/>
        </w:rPr>
        <w:t xml:space="preserve">eam can advise if required </w:t>
      </w:r>
      <w:r w:rsidR="004E68B1" w:rsidRPr="00270404">
        <w:rPr>
          <w:rFonts w:ascii="Aptos" w:hAnsi="Aptos"/>
          <w:color w:val="auto"/>
        </w:rPr>
        <w:t>(</w:t>
      </w:r>
      <w:r w:rsidRPr="00270404">
        <w:rPr>
          <w:rFonts w:ascii="Aptos" w:hAnsi="Aptos"/>
          <w:color w:val="auto"/>
        </w:rPr>
        <w:t>contact details below</w:t>
      </w:r>
      <w:r w:rsidR="004E68B1" w:rsidRPr="00270404">
        <w:rPr>
          <w:rFonts w:ascii="Aptos" w:hAnsi="Aptos"/>
          <w:color w:val="auto"/>
        </w:rPr>
        <w:t>)</w:t>
      </w:r>
      <w:r w:rsidRPr="00270404">
        <w:rPr>
          <w:rFonts w:ascii="Aptos" w:hAnsi="Aptos"/>
          <w:color w:val="auto"/>
        </w:rPr>
        <w:t xml:space="preserve">.  </w:t>
      </w:r>
    </w:p>
    <w:p w14:paraId="49E489BC" w14:textId="77777777" w:rsidR="008C156F" w:rsidRPr="00270404" w:rsidRDefault="008C156F" w:rsidP="006E47AB">
      <w:pPr>
        <w:pStyle w:val="Default"/>
        <w:ind w:left="709"/>
        <w:jc w:val="both"/>
        <w:rPr>
          <w:rFonts w:ascii="Aptos" w:hAnsi="Aptos"/>
          <w:color w:val="auto"/>
        </w:rPr>
      </w:pPr>
    </w:p>
    <w:p w14:paraId="5F84CB22" w14:textId="77777777" w:rsidR="00235162" w:rsidRPr="00270404" w:rsidRDefault="00235162" w:rsidP="00346083">
      <w:pPr>
        <w:pStyle w:val="Default"/>
        <w:numPr>
          <w:ilvl w:val="0"/>
          <w:numId w:val="23"/>
        </w:numPr>
        <w:ind w:left="0" w:firstLine="0"/>
        <w:jc w:val="both"/>
        <w:rPr>
          <w:rFonts w:ascii="Aptos" w:hAnsi="Aptos"/>
          <w:color w:val="auto"/>
        </w:rPr>
      </w:pPr>
      <w:r w:rsidRPr="00270404">
        <w:rPr>
          <w:rFonts w:ascii="Aptos" w:hAnsi="Aptos"/>
          <w:color w:val="auto"/>
        </w:rPr>
        <w:t xml:space="preserve">A claimant who is a racehorse trainer licensed by the BHA is required to adhere to all BHA Rules of Racing and General Instructions and is advised to follow the recommendations set out in the NTF Code of Practice for Infectious Diseases of Racehorses in Training. Failure to do so may jeopardise a claim. Trainers are referred to the Rules of Racing and should ensure that they </w:t>
      </w:r>
      <w:r w:rsidRPr="00270404">
        <w:rPr>
          <w:rFonts w:ascii="Aptos" w:hAnsi="Aptos"/>
          <w:color w:val="auto"/>
        </w:rPr>
        <w:lastRenderedPageBreak/>
        <w:t xml:space="preserve">fulfil their obligations to report infectious disease investigations to the BHA [contact details below].  </w:t>
      </w:r>
    </w:p>
    <w:p w14:paraId="0471CF64" w14:textId="77777777" w:rsidR="00235162" w:rsidRPr="00270404" w:rsidRDefault="00235162" w:rsidP="00346083">
      <w:pPr>
        <w:pStyle w:val="Default"/>
        <w:jc w:val="both"/>
        <w:rPr>
          <w:rFonts w:ascii="Aptos" w:hAnsi="Aptos"/>
          <w:color w:val="auto"/>
        </w:rPr>
      </w:pPr>
    </w:p>
    <w:p w14:paraId="1D2DE25B" w14:textId="77777777" w:rsidR="00235162" w:rsidRPr="00270404" w:rsidRDefault="00235162" w:rsidP="00346083">
      <w:pPr>
        <w:pStyle w:val="Default"/>
        <w:jc w:val="both"/>
        <w:rPr>
          <w:rFonts w:ascii="Aptos" w:hAnsi="Aptos"/>
          <w:color w:val="auto"/>
        </w:rPr>
      </w:pPr>
      <w:r w:rsidRPr="00270404">
        <w:rPr>
          <w:rFonts w:ascii="Aptos" w:hAnsi="Aptos"/>
          <w:color w:val="auto"/>
        </w:rPr>
        <w:t xml:space="preserve">Any other claimant should follow the recommendations in the HBLB International Codes of Practice. Failure to do so may jeopardise a claim. </w:t>
      </w:r>
    </w:p>
    <w:p w14:paraId="04518B4A" w14:textId="77777777" w:rsidR="00346083" w:rsidRPr="00270404" w:rsidRDefault="00346083" w:rsidP="00346083">
      <w:pPr>
        <w:pStyle w:val="Default"/>
        <w:jc w:val="both"/>
        <w:rPr>
          <w:rFonts w:ascii="Aptos" w:hAnsi="Aptos"/>
          <w:color w:val="auto"/>
        </w:rPr>
      </w:pPr>
    </w:p>
    <w:p w14:paraId="47593B46" w14:textId="77777777" w:rsidR="00235162" w:rsidRPr="00270404" w:rsidRDefault="00235162" w:rsidP="00346083">
      <w:pPr>
        <w:jc w:val="both"/>
        <w:rPr>
          <w:rFonts w:ascii="Aptos" w:hAnsi="Aptos" w:cs="Calibri"/>
          <w:szCs w:val="24"/>
        </w:rPr>
      </w:pPr>
      <w:r w:rsidRPr="00270404">
        <w:rPr>
          <w:rFonts w:ascii="Aptos" w:hAnsi="Aptos" w:cs="Calibri"/>
          <w:szCs w:val="24"/>
        </w:rPr>
        <w:t xml:space="preserve">Licensed trainers, and other potential claimants, are strongly advised to consider taking out business continuation insurance to cover costs, incurred in the course of a disease outbreak, that are outside the scope of this Central Fund support provision. </w:t>
      </w:r>
    </w:p>
    <w:p w14:paraId="4543B868" w14:textId="77777777" w:rsidR="00346083" w:rsidRPr="00270404" w:rsidRDefault="00346083" w:rsidP="00346083">
      <w:pPr>
        <w:pStyle w:val="Default"/>
        <w:jc w:val="both"/>
        <w:rPr>
          <w:rFonts w:ascii="Aptos" w:hAnsi="Aptos"/>
        </w:rPr>
      </w:pPr>
    </w:p>
    <w:p w14:paraId="52064EAA" w14:textId="77777777" w:rsidR="00235162" w:rsidRPr="00270404" w:rsidRDefault="001F6107" w:rsidP="00346083">
      <w:pPr>
        <w:pStyle w:val="Default"/>
        <w:jc w:val="both"/>
        <w:rPr>
          <w:rFonts w:ascii="Aptos" w:hAnsi="Aptos"/>
          <w:color w:val="auto"/>
        </w:rPr>
      </w:pPr>
      <w:r w:rsidRPr="00270404">
        <w:rPr>
          <w:rFonts w:ascii="Aptos" w:hAnsi="Aptos"/>
        </w:rPr>
        <w:t xml:space="preserve">4. </w:t>
      </w:r>
      <w:r w:rsidRPr="00270404">
        <w:rPr>
          <w:rFonts w:ascii="Aptos" w:hAnsi="Aptos"/>
        </w:rPr>
        <w:tab/>
      </w:r>
      <w:r w:rsidR="00235162" w:rsidRPr="00270404">
        <w:rPr>
          <w:rFonts w:ascii="Aptos" w:hAnsi="Aptos"/>
          <w:color w:val="auto"/>
        </w:rPr>
        <w:t xml:space="preserve">Claims for financial support will only be considered after the </w:t>
      </w:r>
      <w:bookmarkStart w:id="0" w:name="_Hlk149724001"/>
      <w:r w:rsidR="006E47AB" w:rsidRPr="00270404">
        <w:rPr>
          <w:rFonts w:ascii="Aptos" w:hAnsi="Aptos"/>
          <w:color w:val="auto"/>
        </w:rPr>
        <w:t xml:space="preserve">EIDS </w:t>
      </w:r>
      <w:r w:rsidR="005C4899" w:rsidRPr="00270404">
        <w:rPr>
          <w:rFonts w:ascii="Aptos" w:hAnsi="Aptos"/>
          <w:color w:val="auto"/>
        </w:rPr>
        <w:t>T</w:t>
      </w:r>
      <w:r w:rsidR="00235162" w:rsidRPr="00270404">
        <w:rPr>
          <w:rFonts w:ascii="Aptos" w:hAnsi="Aptos"/>
          <w:color w:val="auto"/>
        </w:rPr>
        <w:t xml:space="preserve">eam </w:t>
      </w:r>
      <w:bookmarkEnd w:id="0"/>
      <w:r w:rsidR="00235162" w:rsidRPr="00270404">
        <w:rPr>
          <w:rFonts w:ascii="Aptos" w:hAnsi="Aptos"/>
          <w:color w:val="auto"/>
        </w:rPr>
        <w:t xml:space="preserve">has confirmed that the trainer (or other claimant) and their veterinary advisors have provided all clinical information and laboratory results requested by EIDS. Claims must be supported by relevant invoices. </w:t>
      </w:r>
    </w:p>
    <w:p w14:paraId="5704A447" w14:textId="77777777" w:rsidR="00235162" w:rsidRPr="00270404" w:rsidRDefault="00235162" w:rsidP="00346083">
      <w:pPr>
        <w:pStyle w:val="Default"/>
        <w:jc w:val="both"/>
        <w:rPr>
          <w:rFonts w:ascii="Aptos" w:hAnsi="Aptos"/>
          <w:color w:val="auto"/>
        </w:rPr>
      </w:pPr>
    </w:p>
    <w:p w14:paraId="681F0D6F" w14:textId="77777777" w:rsidR="00750C26" w:rsidRPr="00270404" w:rsidRDefault="00235162" w:rsidP="00346083">
      <w:pPr>
        <w:jc w:val="both"/>
        <w:rPr>
          <w:rFonts w:ascii="Aptos" w:eastAsia="Calibri" w:hAnsi="Aptos" w:cs="Calibri"/>
          <w:szCs w:val="24"/>
        </w:rPr>
      </w:pPr>
      <w:r w:rsidRPr="00270404">
        <w:rPr>
          <w:rFonts w:ascii="Aptos" w:hAnsi="Aptos" w:cs="Calibri"/>
          <w:szCs w:val="24"/>
        </w:rPr>
        <w:t>5.          An application for support from the Central Fund can only be initiated by the claimant to HBLB using the claim form shown below. Claimants are strongly recommended to inform their representative bodies (for example the TBA or NTF) and also, in respect of BHA licence holders, the BHA.</w:t>
      </w:r>
    </w:p>
    <w:p w14:paraId="0A534CC5" w14:textId="77777777" w:rsidR="001F6107" w:rsidRPr="00270404" w:rsidRDefault="001F6107" w:rsidP="00346083">
      <w:pPr>
        <w:jc w:val="both"/>
        <w:rPr>
          <w:rFonts w:ascii="Aptos" w:eastAsia="Calibri" w:hAnsi="Aptos" w:cs="Calibri"/>
          <w:szCs w:val="24"/>
        </w:rPr>
      </w:pPr>
    </w:p>
    <w:p w14:paraId="38B4D531" w14:textId="77777777" w:rsidR="00750C26" w:rsidRPr="00270404" w:rsidRDefault="00750C26" w:rsidP="00346083">
      <w:pPr>
        <w:jc w:val="both"/>
        <w:rPr>
          <w:rFonts w:ascii="Aptos" w:eastAsia="Calibri" w:hAnsi="Aptos" w:cs="Calibri"/>
          <w:szCs w:val="24"/>
        </w:rPr>
      </w:pPr>
      <w:r w:rsidRPr="00270404">
        <w:rPr>
          <w:rFonts w:ascii="Aptos" w:eastAsia="Calibri" w:hAnsi="Aptos" w:cs="Calibri"/>
          <w:szCs w:val="24"/>
        </w:rPr>
        <w:t>In the event of a suspected case of an equine infectious disease</w:t>
      </w:r>
      <w:r w:rsidR="00346083" w:rsidRPr="00270404">
        <w:rPr>
          <w:rFonts w:ascii="Aptos" w:eastAsia="Calibri" w:hAnsi="Aptos" w:cs="Calibri"/>
          <w:szCs w:val="24"/>
        </w:rPr>
        <w:t>:</w:t>
      </w:r>
    </w:p>
    <w:p w14:paraId="0C63986A" w14:textId="77777777" w:rsidR="00750C26" w:rsidRPr="00270404" w:rsidRDefault="00750C26" w:rsidP="006E47AB">
      <w:pPr>
        <w:ind w:left="1425"/>
        <w:jc w:val="both"/>
        <w:rPr>
          <w:rFonts w:ascii="Aptos" w:eastAsia="Calibri" w:hAnsi="Aptos" w:cs="Calibri"/>
          <w:szCs w:val="24"/>
        </w:rPr>
      </w:pPr>
    </w:p>
    <w:p w14:paraId="63DAC54A" w14:textId="77777777" w:rsidR="00750C26" w:rsidRPr="00270404" w:rsidRDefault="00750C26" w:rsidP="006E47AB">
      <w:pPr>
        <w:numPr>
          <w:ilvl w:val="0"/>
          <w:numId w:val="12"/>
        </w:numPr>
        <w:ind w:left="709" w:hanging="709"/>
        <w:jc w:val="both"/>
        <w:rPr>
          <w:rFonts w:ascii="Aptos" w:eastAsia="Calibri" w:hAnsi="Aptos" w:cs="Calibri"/>
          <w:szCs w:val="24"/>
        </w:rPr>
      </w:pPr>
      <w:r w:rsidRPr="00270404">
        <w:rPr>
          <w:rFonts w:ascii="Aptos" w:eastAsia="Calibri" w:hAnsi="Aptos" w:cs="Calibri"/>
          <w:szCs w:val="24"/>
        </w:rPr>
        <w:t xml:space="preserve">The Central Fund </w:t>
      </w:r>
      <w:r w:rsidR="001C03F0" w:rsidRPr="00270404">
        <w:rPr>
          <w:rFonts w:ascii="Aptos" w:eastAsia="Calibri" w:hAnsi="Aptos" w:cs="Calibri"/>
          <w:szCs w:val="24"/>
        </w:rPr>
        <w:t xml:space="preserve">will </w:t>
      </w:r>
      <w:r w:rsidRPr="00270404">
        <w:rPr>
          <w:rFonts w:ascii="Aptos" w:eastAsia="Calibri" w:hAnsi="Aptos" w:cs="Calibri"/>
          <w:szCs w:val="24"/>
        </w:rPr>
        <w:t xml:space="preserve">consider re-imbursing the following cost categories: </w:t>
      </w:r>
    </w:p>
    <w:p w14:paraId="5ACF9D38" w14:textId="77777777" w:rsidR="00750C26" w:rsidRPr="00270404" w:rsidRDefault="00750C26" w:rsidP="005C4899">
      <w:pPr>
        <w:numPr>
          <w:ilvl w:val="0"/>
          <w:numId w:val="14"/>
        </w:numPr>
        <w:ind w:left="709" w:hanging="283"/>
        <w:jc w:val="both"/>
        <w:rPr>
          <w:rFonts w:ascii="Aptos" w:eastAsia="Calibri" w:hAnsi="Aptos" w:cs="Calibri"/>
          <w:szCs w:val="24"/>
        </w:rPr>
      </w:pPr>
      <w:r w:rsidRPr="00270404">
        <w:rPr>
          <w:rFonts w:ascii="Aptos" w:eastAsia="Calibri" w:hAnsi="Aptos" w:cs="Calibri"/>
          <w:szCs w:val="24"/>
        </w:rPr>
        <w:t xml:space="preserve">Laboratory tests of </w:t>
      </w:r>
      <w:r w:rsidR="001C03F0" w:rsidRPr="00270404">
        <w:rPr>
          <w:rFonts w:ascii="Aptos" w:eastAsia="Calibri" w:hAnsi="Aptos" w:cs="Calibri"/>
          <w:szCs w:val="24"/>
        </w:rPr>
        <w:t xml:space="preserve">swabs and/or blood samples from </w:t>
      </w:r>
      <w:r w:rsidRPr="00270404">
        <w:rPr>
          <w:rFonts w:ascii="Aptos" w:eastAsia="Calibri" w:hAnsi="Aptos" w:cs="Calibri"/>
          <w:szCs w:val="24"/>
        </w:rPr>
        <w:t xml:space="preserve">all horses in an affected yard (index case and all in-contacts) as advised by </w:t>
      </w:r>
      <w:r w:rsidR="005C4899" w:rsidRPr="00270404">
        <w:rPr>
          <w:rFonts w:ascii="Aptos" w:eastAsia="Calibri" w:hAnsi="Aptos" w:cs="Calibri"/>
          <w:szCs w:val="24"/>
        </w:rPr>
        <w:t xml:space="preserve">the </w:t>
      </w:r>
      <w:r w:rsidRPr="00270404">
        <w:rPr>
          <w:rFonts w:ascii="Aptos" w:eastAsia="Calibri" w:hAnsi="Aptos" w:cs="Calibri"/>
          <w:szCs w:val="24"/>
        </w:rPr>
        <w:t>EIDS</w:t>
      </w:r>
      <w:r w:rsidR="001C03F0" w:rsidRPr="00270404">
        <w:rPr>
          <w:rFonts w:ascii="Aptos" w:eastAsia="Calibri" w:hAnsi="Aptos" w:cs="Calibri"/>
          <w:szCs w:val="24"/>
        </w:rPr>
        <w:t xml:space="preserve"> </w:t>
      </w:r>
      <w:r w:rsidR="005C4899" w:rsidRPr="00270404">
        <w:rPr>
          <w:rFonts w:ascii="Aptos" w:eastAsia="Calibri" w:hAnsi="Aptos" w:cs="Calibri"/>
          <w:szCs w:val="24"/>
        </w:rPr>
        <w:t>Team</w:t>
      </w:r>
    </w:p>
    <w:p w14:paraId="69CF586A" w14:textId="77777777" w:rsidR="00750C26" w:rsidRPr="00270404" w:rsidRDefault="00750C26" w:rsidP="006E47AB">
      <w:pPr>
        <w:numPr>
          <w:ilvl w:val="0"/>
          <w:numId w:val="14"/>
        </w:numPr>
        <w:ind w:left="709" w:hanging="283"/>
        <w:jc w:val="both"/>
        <w:rPr>
          <w:rFonts w:ascii="Aptos" w:eastAsia="Calibri" w:hAnsi="Aptos" w:cs="Calibri"/>
          <w:szCs w:val="24"/>
        </w:rPr>
      </w:pPr>
      <w:r w:rsidRPr="00270404">
        <w:rPr>
          <w:rFonts w:ascii="Aptos" w:eastAsia="Calibri" w:hAnsi="Aptos" w:cs="Calibri"/>
          <w:szCs w:val="24"/>
        </w:rPr>
        <w:t xml:space="preserve">Collection of blood and/or nasopharyngeal swabs by a vet at a fixed maximum rate per horse sampling session (2023: £30 </w:t>
      </w:r>
      <w:proofErr w:type="spellStart"/>
      <w:r w:rsidRPr="00270404">
        <w:rPr>
          <w:rFonts w:ascii="Aptos" w:eastAsia="Calibri" w:hAnsi="Aptos" w:cs="Calibri"/>
          <w:szCs w:val="24"/>
        </w:rPr>
        <w:t>inc</w:t>
      </w:r>
      <w:proofErr w:type="spellEnd"/>
      <w:r w:rsidRPr="00270404">
        <w:rPr>
          <w:rFonts w:ascii="Aptos" w:eastAsia="Calibri" w:hAnsi="Aptos" w:cs="Calibri"/>
          <w:szCs w:val="24"/>
        </w:rPr>
        <w:t xml:space="preserve"> VAT subject to note iii below) regardless of whether one or both of bloods and swabs are collected. All consumables are expected to be included within the maximum  fixed rate. </w:t>
      </w:r>
    </w:p>
    <w:p w14:paraId="527FCA00" w14:textId="77777777" w:rsidR="00750C26" w:rsidRPr="00270404" w:rsidRDefault="00750C26" w:rsidP="006E47AB">
      <w:pPr>
        <w:numPr>
          <w:ilvl w:val="0"/>
          <w:numId w:val="14"/>
        </w:numPr>
        <w:ind w:left="709" w:hanging="283"/>
        <w:jc w:val="both"/>
        <w:rPr>
          <w:rFonts w:ascii="Aptos" w:eastAsia="Calibri" w:hAnsi="Aptos" w:cs="Calibri"/>
          <w:szCs w:val="24"/>
        </w:rPr>
      </w:pPr>
      <w:r w:rsidRPr="00270404">
        <w:rPr>
          <w:rFonts w:ascii="Aptos" w:eastAsia="Calibri" w:hAnsi="Aptos" w:cs="Calibri"/>
          <w:szCs w:val="24"/>
        </w:rPr>
        <w:t xml:space="preserve">Collection of guttural pouch lavage (both pouches) with a single nasopharyngeal swab under sedation at a fixed maximum rate per horse (2023: £120 </w:t>
      </w:r>
      <w:proofErr w:type="spellStart"/>
      <w:r w:rsidRPr="00270404">
        <w:rPr>
          <w:rFonts w:ascii="Aptos" w:eastAsia="Calibri" w:hAnsi="Aptos" w:cs="Calibri"/>
          <w:szCs w:val="24"/>
        </w:rPr>
        <w:t>inc</w:t>
      </w:r>
      <w:proofErr w:type="spellEnd"/>
      <w:r w:rsidRPr="00270404">
        <w:rPr>
          <w:rFonts w:ascii="Aptos" w:eastAsia="Calibri" w:hAnsi="Aptos" w:cs="Calibri"/>
          <w:szCs w:val="24"/>
        </w:rPr>
        <w:t xml:space="preserve"> VAT subject to </w:t>
      </w:r>
      <w:r w:rsidR="007C4876" w:rsidRPr="00270404">
        <w:rPr>
          <w:rFonts w:ascii="Aptos" w:eastAsia="Calibri" w:hAnsi="Aptos" w:cs="Calibri"/>
          <w:szCs w:val="24"/>
        </w:rPr>
        <w:t>paragraph 10. belo</w:t>
      </w:r>
      <w:r w:rsidRPr="00270404">
        <w:rPr>
          <w:rFonts w:ascii="Aptos" w:eastAsia="Calibri" w:hAnsi="Aptos" w:cs="Calibri"/>
          <w:szCs w:val="24"/>
        </w:rPr>
        <w:t>w). All costs associated with sedation and consumables are expected to be included within the maximum fixed</w:t>
      </w:r>
      <w:r w:rsidR="00235162" w:rsidRPr="00270404">
        <w:rPr>
          <w:rFonts w:ascii="Aptos" w:eastAsia="Calibri" w:hAnsi="Aptos" w:cs="Calibri"/>
          <w:szCs w:val="24"/>
        </w:rPr>
        <w:t xml:space="preserve"> rate</w:t>
      </w:r>
      <w:r w:rsidRPr="00270404">
        <w:rPr>
          <w:rFonts w:ascii="Aptos" w:eastAsia="Calibri" w:hAnsi="Aptos" w:cs="Calibri"/>
          <w:szCs w:val="24"/>
        </w:rPr>
        <w:t xml:space="preserve">. </w:t>
      </w:r>
    </w:p>
    <w:p w14:paraId="0B7546A2" w14:textId="77777777" w:rsidR="00750C26" w:rsidRPr="00270404" w:rsidRDefault="00750C26" w:rsidP="006E47AB">
      <w:pPr>
        <w:numPr>
          <w:ilvl w:val="0"/>
          <w:numId w:val="14"/>
        </w:numPr>
        <w:ind w:left="1276" w:hanging="850"/>
        <w:jc w:val="both"/>
        <w:rPr>
          <w:rFonts w:ascii="Aptos" w:eastAsia="Calibri" w:hAnsi="Aptos" w:cs="Calibri"/>
          <w:szCs w:val="24"/>
        </w:rPr>
      </w:pPr>
      <w:r w:rsidRPr="00270404">
        <w:rPr>
          <w:rFonts w:ascii="Aptos" w:eastAsia="Calibri" w:hAnsi="Aptos" w:cs="Calibri"/>
          <w:szCs w:val="24"/>
        </w:rPr>
        <w:t>Postage/delivery of samples to a diagnostic laboratory</w:t>
      </w:r>
    </w:p>
    <w:p w14:paraId="2D236628" w14:textId="77777777" w:rsidR="00750C26" w:rsidRPr="00270404" w:rsidRDefault="00750C26" w:rsidP="006E47AB">
      <w:pPr>
        <w:numPr>
          <w:ilvl w:val="0"/>
          <w:numId w:val="14"/>
        </w:numPr>
        <w:ind w:left="1276" w:hanging="850"/>
        <w:jc w:val="both"/>
        <w:rPr>
          <w:rFonts w:ascii="Aptos" w:eastAsia="Calibri" w:hAnsi="Aptos" w:cs="Calibri"/>
          <w:szCs w:val="24"/>
        </w:rPr>
      </w:pPr>
      <w:r w:rsidRPr="00270404">
        <w:rPr>
          <w:rFonts w:ascii="Aptos" w:eastAsia="Calibri" w:hAnsi="Aptos" w:cs="Calibri"/>
          <w:szCs w:val="24"/>
        </w:rPr>
        <w:t xml:space="preserve">Repeat sampling and testing as appropriate and as advised by EIDS </w:t>
      </w:r>
    </w:p>
    <w:p w14:paraId="4212D3F0" w14:textId="77777777" w:rsidR="00750C26" w:rsidRPr="00270404" w:rsidRDefault="00750C26" w:rsidP="006E47AB">
      <w:pPr>
        <w:numPr>
          <w:ilvl w:val="0"/>
          <w:numId w:val="14"/>
        </w:numPr>
        <w:ind w:left="709" w:hanging="283"/>
        <w:jc w:val="both"/>
        <w:rPr>
          <w:rFonts w:ascii="Aptos" w:eastAsia="Calibri" w:hAnsi="Aptos" w:cs="Calibri"/>
          <w:szCs w:val="24"/>
        </w:rPr>
      </w:pPr>
      <w:r w:rsidRPr="00270404">
        <w:rPr>
          <w:rFonts w:ascii="Aptos" w:eastAsia="Calibri" w:hAnsi="Aptos" w:cs="Calibri"/>
          <w:szCs w:val="24"/>
        </w:rPr>
        <w:t xml:space="preserve">Extraordinary staff costs associated only with the collection of laboratory samples and only where circumstances dictate sampling must be conducted outside the yard’s normal working hours (staff costs related to care of horses are not eligible). </w:t>
      </w:r>
    </w:p>
    <w:p w14:paraId="67597BFF" w14:textId="77777777" w:rsidR="00750C26" w:rsidRPr="00270404" w:rsidRDefault="00750C26" w:rsidP="006E47AB">
      <w:pPr>
        <w:numPr>
          <w:ilvl w:val="0"/>
          <w:numId w:val="14"/>
        </w:numPr>
        <w:ind w:left="709" w:hanging="283"/>
        <w:jc w:val="both"/>
        <w:rPr>
          <w:rFonts w:ascii="Aptos" w:eastAsia="Calibri" w:hAnsi="Aptos" w:cs="Calibri"/>
          <w:szCs w:val="24"/>
        </w:rPr>
      </w:pPr>
      <w:r w:rsidRPr="00270404">
        <w:rPr>
          <w:rFonts w:ascii="Aptos" w:eastAsia="Calibri" w:hAnsi="Aptos" w:cs="Calibri"/>
          <w:szCs w:val="24"/>
        </w:rPr>
        <w:t xml:space="preserve">Post-mortem examination of horses which present with acute severe ataxia in which infectious disease is considered to be a differential diagnosis plus carcass transport costs supported by appropriate invoices from a transport company and/or fuel costs if a vehicle owned by the affected trainer is used.  The cost of post-mortem examination can be reclaimed regardless of whether the infectious disease is ultimately diagnosed or excluded.  </w:t>
      </w:r>
      <w:r w:rsidR="001C03F0" w:rsidRPr="00270404">
        <w:rPr>
          <w:rFonts w:ascii="Aptos" w:eastAsia="Calibri" w:hAnsi="Aptos" w:cs="Calibri"/>
          <w:szCs w:val="24"/>
        </w:rPr>
        <w:t xml:space="preserve"> NB this is separate from the TBA’s </w:t>
      </w:r>
      <w:r w:rsidR="00346083" w:rsidRPr="00270404">
        <w:rPr>
          <w:rFonts w:ascii="Aptos" w:eastAsia="Calibri" w:hAnsi="Aptos" w:cs="Calibri"/>
          <w:szCs w:val="24"/>
        </w:rPr>
        <w:t xml:space="preserve">post mortem subsidy, with screening, for EHV when mares experience pregnancy loss. </w:t>
      </w:r>
      <w:r w:rsidR="001C03F0" w:rsidRPr="00270404">
        <w:rPr>
          <w:rFonts w:ascii="Aptos" w:eastAsia="Calibri" w:hAnsi="Aptos" w:cs="Calibri"/>
          <w:szCs w:val="24"/>
        </w:rPr>
        <w:t xml:space="preserve"> </w:t>
      </w:r>
    </w:p>
    <w:p w14:paraId="6EF6CF5C" w14:textId="77777777" w:rsidR="00750C26" w:rsidRPr="00270404" w:rsidRDefault="00750C26" w:rsidP="006E47AB">
      <w:pPr>
        <w:ind w:left="1276" w:hanging="850"/>
        <w:jc w:val="both"/>
        <w:rPr>
          <w:rFonts w:ascii="Aptos" w:eastAsia="Calibri" w:hAnsi="Aptos" w:cs="Calibri"/>
          <w:szCs w:val="24"/>
        </w:rPr>
      </w:pPr>
      <w:r w:rsidRPr="00270404">
        <w:rPr>
          <w:rFonts w:ascii="Aptos" w:eastAsia="Calibri" w:hAnsi="Aptos" w:cs="Calibri"/>
          <w:szCs w:val="24"/>
        </w:rPr>
        <w:t xml:space="preserve"> </w:t>
      </w:r>
    </w:p>
    <w:p w14:paraId="0D7DE194" w14:textId="77777777" w:rsidR="00750C26" w:rsidRPr="00270404" w:rsidRDefault="00750C26" w:rsidP="006E47AB">
      <w:pPr>
        <w:numPr>
          <w:ilvl w:val="0"/>
          <w:numId w:val="12"/>
        </w:numPr>
        <w:ind w:left="567" w:hanging="567"/>
        <w:jc w:val="both"/>
        <w:rPr>
          <w:rFonts w:ascii="Aptos" w:eastAsia="Calibri" w:hAnsi="Aptos" w:cs="Calibri"/>
          <w:szCs w:val="24"/>
        </w:rPr>
      </w:pPr>
      <w:r w:rsidRPr="00270404">
        <w:rPr>
          <w:rFonts w:ascii="Aptos" w:eastAsia="Calibri" w:hAnsi="Aptos" w:cs="Calibri"/>
          <w:szCs w:val="24"/>
        </w:rPr>
        <w:lastRenderedPageBreak/>
        <w:t>The Fund will not co</w:t>
      </w:r>
      <w:r w:rsidR="00346083" w:rsidRPr="00270404">
        <w:rPr>
          <w:rFonts w:ascii="Aptos" w:eastAsia="Calibri" w:hAnsi="Aptos" w:cs="Calibri"/>
          <w:szCs w:val="24"/>
        </w:rPr>
        <w:t>ntribute towards</w:t>
      </w:r>
      <w:r w:rsidRPr="00270404">
        <w:rPr>
          <w:rFonts w:ascii="Aptos" w:eastAsia="Calibri" w:hAnsi="Aptos" w:cs="Calibri"/>
          <w:szCs w:val="24"/>
        </w:rPr>
        <w:t xml:space="preserve">: </w:t>
      </w:r>
    </w:p>
    <w:p w14:paraId="3143A6A2" w14:textId="77777777" w:rsidR="00750C26" w:rsidRPr="00270404" w:rsidRDefault="00750C26" w:rsidP="006E47AB">
      <w:pPr>
        <w:numPr>
          <w:ilvl w:val="0"/>
          <w:numId w:val="14"/>
        </w:numPr>
        <w:ind w:left="1276" w:hanging="850"/>
        <w:jc w:val="both"/>
        <w:rPr>
          <w:rFonts w:ascii="Aptos" w:eastAsia="Calibri" w:hAnsi="Aptos" w:cs="Calibri"/>
          <w:szCs w:val="24"/>
        </w:rPr>
      </w:pPr>
      <w:r w:rsidRPr="00270404">
        <w:rPr>
          <w:rFonts w:ascii="Aptos" w:eastAsia="Calibri" w:hAnsi="Aptos" w:cs="Calibri"/>
          <w:szCs w:val="24"/>
        </w:rPr>
        <w:t xml:space="preserve">Treatment costs </w:t>
      </w:r>
    </w:p>
    <w:p w14:paraId="0B5C73B7" w14:textId="77777777" w:rsidR="00750C26" w:rsidRPr="00270404" w:rsidRDefault="00750C26" w:rsidP="006E47AB">
      <w:pPr>
        <w:numPr>
          <w:ilvl w:val="0"/>
          <w:numId w:val="14"/>
        </w:numPr>
        <w:ind w:left="1276" w:hanging="850"/>
        <w:jc w:val="both"/>
        <w:rPr>
          <w:rFonts w:ascii="Aptos" w:eastAsia="Calibri" w:hAnsi="Aptos" w:cs="Calibri"/>
          <w:szCs w:val="24"/>
        </w:rPr>
      </w:pPr>
      <w:r w:rsidRPr="00270404">
        <w:rPr>
          <w:rFonts w:ascii="Aptos" w:eastAsia="Calibri" w:hAnsi="Aptos" w:cs="Calibri"/>
          <w:szCs w:val="24"/>
        </w:rPr>
        <w:t>Extraordinary staff costs apart from those noted above</w:t>
      </w:r>
    </w:p>
    <w:p w14:paraId="74CFE54E" w14:textId="77777777" w:rsidR="00750C26" w:rsidRPr="00270404" w:rsidRDefault="00750C26" w:rsidP="006E47AB">
      <w:pPr>
        <w:numPr>
          <w:ilvl w:val="0"/>
          <w:numId w:val="14"/>
        </w:numPr>
        <w:ind w:left="1276" w:hanging="850"/>
        <w:jc w:val="both"/>
        <w:rPr>
          <w:rFonts w:ascii="Aptos" w:eastAsia="Calibri" w:hAnsi="Aptos" w:cs="Calibri"/>
          <w:szCs w:val="24"/>
        </w:rPr>
      </w:pPr>
      <w:r w:rsidRPr="00270404">
        <w:rPr>
          <w:rFonts w:ascii="Aptos" w:eastAsia="Calibri" w:hAnsi="Aptos" w:cs="Calibri"/>
          <w:szCs w:val="24"/>
        </w:rPr>
        <w:t xml:space="preserve">Rental of alternative premises </w:t>
      </w:r>
    </w:p>
    <w:p w14:paraId="669CD985" w14:textId="77777777" w:rsidR="00750C26" w:rsidRPr="00270404" w:rsidRDefault="00750C26" w:rsidP="006E47AB">
      <w:pPr>
        <w:numPr>
          <w:ilvl w:val="0"/>
          <w:numId w:val="14"/>
        </w:numPr>
        <w:ind w:left="1276" w:hanging="850"/>
        <w:jc w:val="both"/>
        <w:rPr>
          <w:rFonts w:ascii="Aptos" w:eastAsia="Calibri" w:hAnsi="Aptos" w:cs="Calibri"/>
          <w:szCs w:val="24"/>
        </w:rPr>
      </w:pPr>
      <w:r w:rsidRPr="00270404">
        <w:rPr>
          <w:rFonts w:ascii="Aptos" w:eastAsia="Calibri" w:hAnsi="Aptos" w:cs="Calibri"/>
          <w:szCs w:val="24"/>
        </w:rPr>
        <w:t xml:space="preserve">Cleaning of any premises </w:t>
      </w:r>
    </w:p>
    <w:p w14:paraId="2A51AAA5" w14:textId="77777777" w:rsidR="00750C26" w:rsidRPr="00270404" w:rsidRDefault="00750C26" w:rsidP="006E47AB">
      <w:pPr>
        <w:numPr>
          <w:ilvl w:val="0"/>
          <w:numId w:val="14"/>
        </w:numPr>
        <w:ind w:left="1276" w:hanging="850"/>
        <w:jc w:val="both"/>
        <w:rPr>
          <w:rFonts w:ascii="Aptos" w:eastAsia="Calibri" w:hAnsi="Aptos" w:cs="Calibri"/>
          <w:szCs w:val="24"/>
        </w:rPr>
      </w:pPr>
      <w:r w:rsidRPr="00270404">
        <w:rPr>
          <w:rFonts w:ascii="Aptos" w:eastAsia="Calibri" w:hAnsi="Aptos" w:cs="Calibri"/>
          <w:szCs w:val="24"/>
        </w:rPr>
        <w:t xml:space="preserve">Transport of equines from or back to home premises </w:t>
      </w:r>
    </w:p>
    <w:p w14:paraId="1A0C41ED" w14:textId="77777777" w:rsidR="00750C26" w:rsidRPr="00270404" w:rsidRDefault="00750C26" w:rsidP="006E47AB">
      <w:pPr>
        <w:numPr>
          <w:ilvl w:val="0"/>
          <w:numId w:val="14"/>
        </w:numPr>
        <w:ind w:left="1276" w:hanging="850"/>
        <w:jc w:val="both"/>
        <w:rPr>
          <w:rFonts w:ascii="Aptos" w:eastAsia="Calibri" w:hAnsi="Aptos" w:cs="Calibri"/>
          <w:szCs w:val="24"/>
        </w:rPr>
      </w:pPr>
      <w:r w:rsidRPr="00270404">
        <w:rPr>
          <w:rFonts w:ascii="Aptos" w:eastAsia="Calibri" w:hAnsi="Aptos" w:cs="Calibri"/>
          <w:szCs w:val="24"/>
        </w:rPr>
        <w:t>Compensation to owners</w:t>
      </w:r>
    </w:p>
    <w:p w14:paraId="6349ED99" w14:textId="77777777" w:rsidR="00750C26" w:rsidRPr="00270404" w:rsidRDefault="00750C26" w:rsidP="006E47AB">
      <w:pPr>
        <w:numPr>
          <w:ilvl w:val="0"/>
          <w:numId w:val="14"/>
        </w:numPr>
        <w:ind w:left="1276" w:hanging="850"/>
        <w:jc w:val="both"/>
        <w:rPr>
          <w:rFonts w:ascii="Aptos" w:eastAsia="Calibri" w:hAnsi="Aptos" w:cs="Calibri"/>
          <w:szCs w:val="24"/>
        </w:rPr>
      </w:pPr>
      <w:r w:rsidRPr="00270404">
        <w:rPr>
          <w:rFonts w:ascii="Aptos" w:eastAsia="Calibri" w:hAnsi="Aptos" w:cs="Calibri"/>
          <w:szCs w:val="24"/>
        </w:rPr>
        <w:t xml:space="preserve">Any other costs not listed in </w:t>
      </w:r>
      <w:proofErr w:type="spellStart"/>
      <w:r w:rsidR="001F6107" w:rsidRPr="00270404">
        <w:rPr>
          <w:rFonts w:ascii="Aptos" w:eastAsia="Calibri" w:hAnsi="Aptos" w:cs="Calibri"/>
          <w:szCs w:val="24"/>
        </w:rPr>
        <w:t>i</w:t>
      </w:r>
      <w:proofErr w:type="spellEnd"/>
      <w:r w:rsidRPr="00270404">
        <w:rPr>
          <w:rFonts w:ascii="Aptos" w:eastAsia="Calibri" w:hAnsi="Aptos" w:cs="Calibri"/>
          <w:szCs w:val="24"/>
        </w:rPr>
        <w:t>) above</w:t>
      </w:r>
      <w:r w:rsidR="001F6107" w:rsidRPr="00270404">
        <w:rPr>
          <w:rFonts w:ascii="Aptos" w:eastAsia="Calibri" w:hAnsi="Aptos" w:cs="Calibri"/>
          <w:szCs w:val="24"/>
        </w:rPr>
        <w:t>.</w:t>
      </w:r>
    </w:p>
    <w:p w14:paraId="262CF1E2" w14:textId="77777777" w:rsidR="004E68B1" w:rsidRPr="00270404" w:rsidRDefault="004E68B1" w:rsidP="006E47AB">
      <w:pPr>
        <w:jc w:val="both"/>
        <w:rPr>
          <w:rFonts w:ascii="Aptos" w:eastAsia="Calibri" w:hAnsi="Aptos"/>
          <w:b/>
          <w:bCs/>
          <w:kern w:val="2"/>
          <w:szCs w:val="24"/>
        </w:rPr>
      </w:pPr>
    </w:p>
    <w:p w14:paraId="254822C6" w14:textId="77777777" w:rsidR="009B3176" w:rsidRPr="00270404" w:rsidRDefault="009B3176" w:rsidP="006E47AB">
      <w:pPr>
        <w:jc w:val="both"/>
        <w:rPr>
          <w:rFonts w:ascii="Aptos" w:eastAsia="Calibri" w:hAnsi="Aptos"/>
          <w:b/>
          <w:bCs/>
          <w:kern w:val="2"/>
          <w:szCs w:val="24"/>
        </w:rPr>
      </w:pPr>
      <w:r w:rsidRPr="00270404">
        <w:rPr>
          <w:rFonts w:ascii="Aptos" w:eastAsia="Calibri" w:hAnsi="Aptos"/>
          <w:b/>
          <w:bCs/>
          <w:kern w:val="2"/>
          <w:szCs w:val="24"/>
        </w:rPr>
        <w:t>Claims</w:t>
      </w:r>
    </w:p>
    <w:p w14:paraId="5B6ADE32" w14:textId="77777777" w:rsidR="009B3176" w:rsidRPr="00270404" w:rsidRDefault="009B3176" w:rsidP="00346083">
      <w:pPr>
        <w:jc w:val="both"/>
        <w:rPr>
          <w:rFonts w:ascii="Aptos" w:eastAsia="Calibri" w:hAnsi="Aptos" w:cs="Calibri"/>
          <w:szCs w:val="24"/>
        </w:rPr>
      </w:pPr>
      <w:r w:rsidRPr="00270404">
        <w:rPr>
          <w:rFonts w:ascii="Aptos" w:eastAsia="Calibri" w:hAnsi="Aptos"/>
          <w:kern w:val="2"/>
          <w:szCs w:val="24"/>
        </w:rPr>
        <w:t xml:space="preserve">6. </w:t>
      </w:r>
      <w:r w:rsidR="00FB6414" w:rsidRPr="00270404">
        <w:rPr>
          <w:rFonts w:ascii="Aptos" w:eastAsia="Calibri" w:hAnsi="Aptos"/>
          <w:kern w:val="2"/>
          <w:szCs w:val="24"/>
        </w:rPr>
        <w:t xml:space="preserve">    </w:t>
      </w:r>
      <w:r w:rsidR="006E47AB" w:rsidRPr="00270404">
        <w:rPr>
          <w:rFonts w:ascii="Aptos" w:eastAsia="Calibri" w:hAnsi="Aptos"/>
          <w:kern w:val="2"/>
          <w:szCs w:val="24"/>
        </w:rPr>
        <w:tab/>
      </w:r>
      <w:r w:rsidRPr="00270404">
        <w:rPr>
          <w:rFonts w:ascii="Aptos" w:eastAsia="Calibri" w:hAnsi="Aptos" w:cs="Calibri"/>
          <w:szCs w:val="24"/>
        </w:rPr>
        <w:t xml:space="preserve">Claims should be made on the designated form (see below).  The form, with supporting documentation, should be submitted by the </w:t>
      </w:r>
      <w:r w:rsidR="001C03F0" w:rsidRPr="00270404">
        <w:rPr>
          <w:rFonts w:ascii="Aptos" w:eastAsia="Calibri" w:hAnsi="Aptos" w:cs="Calibri"/>
          <w:szCs w:val="24"/>
        </w:rPr>
        <w:t>claimant to HBLB</w:t>
      </w:r>
      <w:r w:rsidRPr="00270404">
        <w:rPr>
          <w:rFonts w:ascii="Aptos" w:eastAsia="Calibri" w:hAnsi="Aptos" w:cs="Calibri"/>
          <w:szCs w:val="24"/>
        </w:rPr>
        <w:t xml:space="preserve"> [contact details below]. </w:t>
      </w:r>
    </w:p>
    <w:p w14:paraId="2DDAFCF5" w14:textId="77777777" w:rsidR="00750C26" w:rsidRPr="00270404" w:rsidRDefault="00750C26" w:rsidP="00346083">
      <w:pPr>
        <w:jc w:val="both"/>
        <w:rPr>
          <w:rFonts w:ascii="Aptos" w:eastAsia="Calibri" w:hAnsi="Aptos" w:cs="Calibri"/>
          <w:szCs w:val="24"/>
        </w:rPr>
      </w:pPr>
    </w:p>
    <w:p w14:paraId="4526FFD8" w14:textId="77777777" w:rsidR="00750C26" w:rsidRPr="00270404" w:rsidRDefault="009B3176" w:rsidP="00346083">
      <w:pPr>
        <w:jc w:val="both"/>
        <w:rPr>
          <w:rFonts w:ascii="Aptos" w:eastAsia="Calibri" w:hAnsi="Aptos" w:cs="Calibri"/>
          <w:color w:val="0070C0"/>
          <w:szCs w:val="24"/>
        </w:rPr>
      </w:pPr>
      <w:r w:rsidRPr="00270404">
        <w:rPr>
          <w:rFonts w:ascii="Aptos" w:eastAsia="Calibri" w:hAnsi="Aptos" w:cs="Calibri"/>
          <w:szCs w:val="24"/>
        </w:rPr>
        <w:t xml:space="preserve">7. </w:t>
      </w:r>
      <w:r w:rsidRPr="00270404">
        <w:rPr>
          <w:rFonts w:ascii="Aptos" w:eastAsia="Calibri" w:hAnsi="Aptos" w:cs="Calibri"/>
          <w:szCs w:val="24"/>
        </w:rPr>
        <w:tab/>
      </w:r>
      <w:r w:rsidR="00750C26" w:rsidRPr="00270404">
        <w:rPr>
          <w:rFonts w:ascii="Aptos" w:eastAsia="Calibri" w:hAnsi="Aptos" w:cs="Calibri"/>
          <w:szCs w:val="24"/>
        </w:rPr>
        <w:t>A panel comprising three nominees of the HBLB’s Equine Infectious Disease Surveillance Oversight Committee (EIDSOC) will review claims and make recommendations for the approval of the co-</w:t>
      </w:r>
      <w:proofErr w:type="spellStart"/>
      <w:r w:rsidR="00750C26" w:rsidRPr="00270404">
        <w:rPr>
          <w:rFonts w:ascii="Aptos" w:eastAsia="Calibri" w:hAnsi="Aptos" w:cs="Calibri"/>
          <w:szCs w:val="24"/>
        </w:rPr>
        <w:t>funders</w:t>
      </w:r>
      <w:proofErr w:type="spellEnd"/>
      <w:r w:rsidR="00750C26" w:rsidRPr="00270404">
        <w:rPr>
          <w:rFonts w:ascii="Aptos" w:eastAsia="Calibri" w:hAnsi="Aptos" w:cs="Calibri"/>
          <w:szCs w:val="24"/>
        </w:rPr>
        <w:t xml:space="preserve"> of the Central Fund (HBLB, </w:t>
      </w:r>
      <w:r w:rsidR="005C4899" w:rsidRPr="00270404">
        <w:rPr>
          <w:rFonts w:ascii="Aptos" w:eastAsia="Calibri" w:hAnsi="Aptos" w:cs="Calibri"/>
          <w:szCs w:val="24"/>
        </w:rPr>
        <w:t>R</w:t>
      </w:r>
      <w:r w:rsidR="00750C26" w:rsidRPr="00270404">
        <w:rPr>
          <w:rFonts w:ascii="Aptos" w:eastAsia="Calibri" w:hAnsi="Aptos" w:cs="Calibri"/>
          <w:szCs w:val="24"/>
        </w:rPr>
        <w:t xml:space="preserve">acehorse </w:t>
      </w:r>
      <w:r w:rsidR="005C4899" w:rsidRPr="00270404">
        <w:rPr>
          <w:rFonts w:ascii="Aptos" w:eastAsia="Calibri" w:hAnsi="Aptos" w:cs="Calibri"/>
          <w:szCs w:val="24"/>
        </w:rPr>
        <w:t>O</w:t>
      </w:r>
      <w:r w:rsidR="00750C26" w:rsidRPr="00270404">
        <w:rPr>
          <w:rFonts w:ascii="Aptos" w:eastAsia="Calibri" w:hAnsi="Aptos" w:cs="Calibri"/>
          <w:szCs w:val="24"/>
        </w:rPr>
        <w:t xml:space="preserve">wners represented by the ROA and </w:t>
      </w:r>
      <w:r w:rsidR="005C4899" w:rsidRPr="00270404">
        <w:rPr>
          <w:rFonts w:ascii="Aptos" w:eastAsia="Calibri" w:hAnsi="Aptos" w:cs="Calibri"/>
          <w:szCs w:val="24"/>
        </w:rPr>
        <w:t xml:space="preserve">the </w:t>
      </w:r>
      <w:r w:rsidR="00750C26" w:rsidRPr="00270404">
        <w:rPr>
          <w:rFonts w:ascii="Aptos" w:eastAsia="Calibri" w:hAnsi="Aptos" w:cs="Calibri"/>
          <w:szCs w:val="24"/>
        </w:rPr>
        <w:t xml:space="preserve">TBA).  Representation from claimants will be allowed. </w:t>
      </w:r>
      <w:r w:rsidR="001C03F0" w:rsidRPr="00270404">
        <w:rPr>
          <w:rFonts w:ascii="Aptos" w:eastAsia="Calibri" w:hAnsi="Aptos" w:cs="Calibri"/>
          <w:szCs w:val="24"/>
        </w:rPr>
        <w:t xml:space="preserve"> Should the claim concern a Thoroughbred stud, the panel will include a representative of the TBA</w:t>
      </w:r>
      <w:r w:rsidR="004E68B1" w:rsidRPr="00270404">
        <w:rPr>
          <w:rFonts w:ascii="Aptos" w:eastAsia="Calibri" w:hAnsi="Aptos" w:cs="Calibri"/>
          <w:szCs w:val="24"/>
        </w:rPr>
        <w:t>.</w:t>
      </w:r>
      <w:r w:rsidR="009D2299" w:rsidRPr="00270404">
        <w:rPr>
          <w:rFonts w:ascii="Aptos" w:eastAsia="Calibri" w:hAnsi="Aptos" w:cs="Calibri"/>
          <w:color w:val="FF0000"/>
          <w:szCs w:val="24"/>
        </w:rPr>
        <w:t xml:space="preserve"> </w:t>
      </w:r>
    </w:p>
    <w:p w14:paraId="0431EE32" w14:textId="77777777" w:rsidR="00750C26" w:rsidRPr="00270404" w:rsidRDefault="00750C26" w:rsidP="006E47AB">
      <w:pPr>
        <w:ind w:left="1276" w:hanging="708"/>
        <w:contextualSpacing/>
        <w:jc w:val="both"/>
        <w:rPr>
          <w:rFonts w:ascii="Aptos" w:eastAsia="Calibri" w:hAnsi="Aptos" w:cs="Calibri"/>
          <w:color w:val="FF0000"/>
          <w:szCs w:val="24"/>
        </w:rPr>
      </w:pPr>
    </w:p>
    <w:p w14:paraId="0A8B96C9" w14:textId="77777777" w:rsidR="009D2299" w:rsidRPr="00270404" w:rsidRDefault="009B3176" w:rsidP="007C4876">
      <w:pPr>
        <w:ind w:left="709" w:hanging="709"/>
        <w:jc w:val="both"/>
        <w:rPr>
          <w:rFonts w:ascii="Aptos" w:eastAsia="Calibri" w:hAnsi="Aptos" w:cs="Calibri"/>
          <w:szCs w:val="24"/>
        </w:rPr>
      </w:pPr>
      <w:r w:rsidRPr="00270404">
        <w:rPr>
          <w:rFonts w:ascii="Aptos" w:eastAsia="Calibri" w:hAnsi="Aptos" w:cs="Calibri"/>
          <w:szCs w:val="24"/>
        </w:rPr>
        <w:t xml:space="preserve">8. </w:t>
      </w:r>
      <w:r w:rsidRPr="00270404">
        <w:rPr>
          <w:rFonts w:ascii="Aptos" w:eastAsia="Calibri" w:hAnsi="Aptos" w:cs="Calibri"/>
          <w:szCs w:val="24"/>
        </w:rPr>
        <w:tab/>
      </w:r>
      <w:r w:rsidR="009D2299" w:rsidRPr="00270404">
        <w:rPr>
          <w:rFonts w:ascii="Aptos" w:eastAsia="Calibri" w:hAnsi="Aptos" w:cs="Calibri"/>
          <w:szCs w:val="24"/>
        </w:rPr>
        <w:t>Should a claim be denied</w:t>
      </w:r>
      <w:r w:rsidR="00A85C59" w:rsidRPr="00270404">
        <w:rPr>
          <w:rFonts w:ascii="Aptos" w:eastAsia="Calibri" w:hAnsi="Aptos" w:cs="Calibri"/>
          <w:szCs w:val="24"/>
        </w:rPr>
        <w:t>,</w:t>
      </w:r>
      <w:r w:rsidR="009D2299" w:rsidRPr="00270404">
        <w:rPr>
          <w:rFonts w:ascii="Aptos" w:eastAsia="Calibri" w:hAnsi="Aptos" w:cs="Calibri"/>
          <w:szCs w:val="24"/>
        </w:rPr>
        <w:t xml:space="preserve"> either wholly or in part, reasons for the decision will be given. </w:t>
      </w:r>
    </w:p>
    <w:p w14:paraId="28244D5A" w14:textId="77777777" w:rsidR="009D2299" w:rsidRPr="00270404" w:rsidRDefault="009D2299" w:rsidP="006E47AB">
      <w:pPr>
        <w:ind w:left="567" w:hanging="567"/>
        <w:jc w:val="both"/>
        <w:rPr>
          <w:rFonts w:ascii="Aptos" w:eastAsia="Calibri" w:hAnsi="Aptos" w:cs="Calibri"/>
          <w:szCs w:val="24"/>
        </w:rPr>
      </w:pPr>
    </w:p>
    <w:p w14:paraId="13B82F3E" w14:textId="77777777" w:rsidR="00750C26" w:rsidRPr="00270404" w:rsidRDefault="009D2299" w:rsidP="00346083">
      <w:pPr>
        <w:jc w:val="both"/>
        <w:rPr>
          <w:rFonts w:ascii="Aptos" w:eastAsia="Calibri" w:hAnsi="Aptos" w:cs="Calibri"/>
          <w:szCs w:val="24"/>
        </w:rPr>
      </w:pPr>
      <w:r w:rsidRPr="00270404">
        <w:rPr>
          <w:rFonts w:ascii="Aptos" w:eastAsia="Calibri" w:hAnsi="Aptos" w:cs="Calibri"/>
          <w:szCs w:val="24"/>
        </w:rPr>
        <w:t>9.</w:t>
      </w:r>
      <w:r w:rsidRPr="00270404">
        <w:rPr>
          <w:rFonts w:ascii="Aptos" w:eastAsia="Calibri" w:hAnsi="Aptos" w:cs="Calibri"/>
          <w:szCs w:val="24"/>
        </w:rPr>
        <w:tab/>
        <w:t>I</w:t>
      </w:r>
      <w:r w:rsidR="00750C26" w:rsidRPr="00270404">
        <w:rPr>
          <w:rFonts w:ascii="Aptos" w:eastAsia="Calibri" w:hAnsi="Aptos" w:cs="Calibri"/>
          <w:szCs w:val="24"/>
        </w:rPr>
        <w:t xml:space="preserve">t is intended that determination of any application would be concluded not more than four weeks after receipt of the final claim in any one outbreak. </w:t>
      </w:r>
    </w:p>
    <w:p w14:paraId="1BF9242F" w14:textId="77777777" w:rsidR="009B3176" w:rsidRPr="00270404" w:rsidRDefault="009B3176" w:rsidP="00346083">
      <w:pPr>
        <w:jc w:val="both"/>
        <w:rPr>
          <w:rFonts w:ascii="Aptos" w:eastAsia="Calibri" w:hAnsi="Aptos" w:cs="Calibri"/>
          <w:szCs w:val="24"/>
        </w:rPr>
      </w:pPr>
    </w:p>
    <w:p w14:paraId="3FEDDD91" w14:textId="77777777" w:rsidR="009B3176" w:rsidRPr="00270404" w:rsidRDefault="009D2299" w:rsidP="00346083">
      <w:pPr>
        <w:jc w:val="both"/>
        <w:rPr>
          <w:rFonts w:ascii="Aptos" w:eastAsia="Calibri" w:hAnsi="Aptos"/>
          <w:kern w:val="2"/>
          <w:szCs w:val="24"/>
        </w:rPr>
      </w:pPr>
      <w:r w:rsidRPr="00270404">
        <w:rPr>
          <w:rFonts w:ascii="Aptos" w:eastAsia="Calibri" w:hAnsi="Aptos" w:cs="Calibri"/>
          <w:szCs w:val="24"/>
        </w:rPr>
        <w:t>10</w:t>
      </w:r>
      <w:r w:rsidR="009B3176" w:rsidRPr="00270404">
        <w:rPr>
          <w:rFonts w:ascii="Aptos" w:eastAsia="Calibri" w:hAnsi="Aptos" w:cs="Calibri"/>
          <w:szCs w:val="24"/>
        </w:rPr>
        <w:t xml:space="preserve">. </w:t>
      </w:r>
      <w:r w:rsidR="009B3176" w:rsidRPr="00270404">
        <w:rPr>
          <w:rFonts w:ascii="Aptos" w:eastAsia="Calibri" w:hAnsi="Aptos" w:cs="Calibri"/>
          <w:szCs w:val="24"/>
        </w:rPr>
        <w:tab/>
        <w:t xml:space="preserve">VAT: </w:t>
      </w:r>
      <w:r w:rsidR="009B3176" w:rsidRPr="00270404">
        <w:rPr>
          <w:rFonts w:ascii="Aptos" w:eastAsia="Calibri" w:hAnsi="Aptos"/>
          <w:kern w:val="2"/>
          <w:szCs w:val="24"/>
        </w:rPr>
        <w:t>We would expect that all grants issued by HBLB would be outside the scope of VAT as the amounts granted are given freely and HBLB neither derives any benefit from the grant nor receives any services as part of the arrangement. However, if unsure whether VAT applies, we would recommend consulting a tax adviser.</w:t>
      </w:r>
    </w:p>
    <w:p w14:paraId="2359C9E3" w14:textId="77777777" w:rsidR="009B3176" w:rsidRPr="00270404" w:rsidRDefault="009B3176" w:rsidP="006E47AB">
      <w:pPr>
        <w:ind w:left="567" w:hanging="567"/>
        <w:jc w:val="both"/>
        <w:rPr>
          <w:rFonts w:ascii="Aptos" w:eastAsia="Calibri" w:hAnsi="Aptos" w:cs="Calibri"/>
          <w:szCs w:val="24"/>
        </w:rPr>
      </w:pPr>
    </w:p>
    <w:p w14:paraId="46A2C482" w14:textId="77777777" w:rsidR="00750C26" w:rsidRPr="00270404" w:rsidRDefault="00750C26" w:rsidP="006E47AB">
      <w:pPr>
        <w:pBdr>
          <w:bottom w:val="single" w:sz="6" w:space="1" w:color="auto"/>
        </w:pBdr>
        <w:ind w:left="1425"/>
        <w:jc w:val="both"/>
        <w:rPr>
          <w:rFonts w:ascii="Aptos" w:eastAsia="Calibri" w:hAnsi="Aptos" w:cs="Calibri"/>
          <w:szCs w:val="24"/>
        </w:rPr>
      </w:pPr>
    </w:p>
    <w:p w14:paraId="6D598E29" w14:textId="77777777" w:rsidR="00750C26" w:rsidRPr="00270404" w:rsidRDefault="00750C26" w:rsidP="006E47AB">
      <w:pPr>
        <w:ind w:left="705"/>
        <w:jc w:val="both"/>
        <w:rPr>
          <w:rFonts w:ascii="Aptos" w:eastAsia="Calibri" w:hAnsi="Aptos" w:cs="Calibri"/>
          <w:szCs w:val="24"/>
        </w:rPr>
      </w:pPr>
    </w:p>
    <w:p w14:paraId="1FAF9A0E" w14:textId="77777777" w:rsidR="00750C26" w:rsidRPr="00270404" w:rsidRDefault="00750C26" w:rsidP="006E47AB">
      <w:pPr>
        <w:ind w:left="705" w:hanging="705"/>
        <w:jc w:val="both"/>
        <w:rPr>
          <w:rFonts w:ascii="Aptos" w:eastAsia="Calibri" w:hAnsi="Aptos" w:cs="Calibri"/>
          <w:szCs w:val="24"/>
        </w:rPr>
      </w:pPr>
      <w:r w:rsidRPr="00270404">
        <w:rPr>
          <w:rFonts w:ascii="Aptos" w:eastAsia="Calibri" w:hAnsi="Aptos" w:cs="Calibri"/>
          <w:szCs w:val="24"/>
        </w:rPr>
        <w:t xml:space="preserve">Contact details: </w:t>
      </w:r>
    </w:p>
    <w:p w14:paraId="2EB5D8F0" w14:textId="77777777" w:rsidR="00750C26" w:rsidRPr="00270404" w:rsidRDefault="00750C26" w:rsidP="006E47AB">
      <w:pPr>
        <w:ind w:left="705" w:hanging="705"/>
        <w:jc w:val="both"/>
        <w:rPr>
          <w:rFonts w:ascii="Aptos" w:eastAsia="Calibri" w:hAnsi="Aptos" w:cs="Calibri"/>
          <w:szCs w:val="24"/>
        </w:rPr>
      </w:pPr>
    </w:p>
    <w:p w14:paraId="63CF75C0" w14:textId="77777777" w:rsidR="00446BCE" w:rsidRPr="004408FF" w:rsidRDefault="00750C26" w:rsidP="00446BCE">
      <w:pPr>
        <w:ind w:left="705" w:hanging="705"/>
        <w:jc w:val="both"/>
        <w:rPr>
          <w:rFonts w:ascii="Aptos" w:eastAsia="Calibri" w:hAnsi="Aptos" w:cs="Calibri"/>
          <w:szCs w:val="24"/>
        </w:rPr>
      </w:pPr>
      <w:r w:rsidRPr="004408FF">
        <w:rPr>
          <w:rFonts w:ascii="Aptos" w:eastAsia="Calibri" w:hAnsi="Aptos" w:cs="Calibri"/>
          <w:szCs w:val="24"/>
        </w:rPr>
        <w:t>BHA</w:t>
      </w:r>
      <w:r w:rsidR="00A65E16" w:rsidRPr="004408FF">
        <w:rPr>
          <w:rFonts w:ascii="Aptos" w:eastAsia="Calibri" w:hAnsi="Aptos" w:cs="Calibri"/>
          <w:szCs w:val="24"/>
        </w:rPr>
        <w:t xml:space="preserve">: </w:t>
      </w:r>
      <w:r w:rsidR="00A65E16" w:rsidRPr="004408FF">
        <w:rPr>
          <w:rFonts w:ascii="Aptos" w:eastAsia="Calibri" w:hAnsi="Aptos" w:cs="Calibri"/>
          <w:szCs w:val="24"/>
        </w:rPr>
        <w:tab/>
      </w:r>
      <w:r w:rsidRPr="004408FF">
        <w:rPr>
          <w:rFonts w:ascii="Aptos" w:eastAsia="Calibri" w:hAnsi="Aptos" w:cs="Calibri"/>
          <w:szCs w:val="24"/>
        </w:rPr>
        <w:t xml:space="preserve"> </w:t>
      </w:r>
      <w:r w:rsidR="00446BCE" w:rsidRPr="004408FF">
        <w:rPr>
          <w:rFonts w:ascii="Aptos" w:eastAsia="Calibri" w:hAnsi="Aptos" w:cs="Calibri"/>
          <w:szCs w:val="24"/>
        </w:rPr>
        <w:t>James Given</w:t>
      </w:r>
      <w:r w:rsidR="00446BCE" w:rsidRPr="004408FF">
        <w:rPr>
          <w:rFonts w:ascii="Aptos" w:eastAsia="Calibri" w:hAnsi="Aptos" w:cs="Calibri"/>
          <w:szCs w:val="24"/>
        </w:rPr>
        <w:tab/>
      </w:r>
      <w:r w:rsidR="00446BCE" w:rsidRPr="004408FF">
        <w:rPr>
          <w:rFonts w:ascii="Aptos" w:eastAsia="Calibri" w:hAnsi="Aptos" w:cs="Calibri"/>
          <w:szCs w:val="24"/>
        </w:rPr>
        <w:tab/>
      </w:r>
      <w:r w:rsidR="00A65E16" w:rsidRPr="004408FF">
        <w:rPr>
          <w:rFonts w:ascii="Aptos" w:eastAsia="Calibri" w:hAnsi="Aptos" w:cs="Calibri"/>
          <w:szCs w:val="24"/>
        </w:rPr>
        <w:tab/>
      </w:r>
      <w:hyperlink r:id="rId11" w:history="1">
        <w:r w:rsidR="00446BCE" w:rsidRPr="004408FF">
          <w:rPr>
            <w:rStyle w:val="Hyperlink"/>
            <w:rFonts w:ascii="Aptos" w:eastAsia="Calibri" w:hAnsi="Aptos" w:cs="Calibri"/>
            <w:szCs w:val="24"/>
          </w:rPr>
          <w:t>jgiven@britishhorseracing.com</w:t>
        </w:r>
      </w:hyperlink>
    </w:p>
    <w:p w14:paraId="4E791573" w14:textId="76C3914C" w:rsidR="00A65E16" w:rsidRPr="004408FF" w:rsidRDefault="00446BCE" w:rsidP="00446BCE">
      <w:pPr>
        <w:spacing w:line="360" w:lineRule="auto"/>
        <w:ind w:left="705" w:hanging="705"/>
        <w:jc w:val="both"/>
        <w:rPr>
          <w:rFonts w:ascii="Aptos" w:eastAsia="Calibri" w:hAnsi="Aptos" w:cs="Calibri"/>
          <w:szCs w:val="24"/>
        </w:rPr>
      </w:pPr>
      <w:r w:rsidRPr="004408FF">
        <w:rPr>
          <w:rFonts w:ascii="Aptos" w:eastAsia="Calibri" w:hAnsi="Aptos" w:cs="Calibri"/>
          <w:szCs w:val="24"/>
        </w:rPr>
        <w:tab/>
      </w:r>
      <w:r w:rsidRPr="004408FF">
        <w:rPr>
          <w:rFonts w:ascii="Aptos" w:eastAsia="Calibri" w:hAnsi="Aptos" w:cs="Calibri"/>
          <w:szCs w:val="24"/>
        </w:rPr>
        <w:tab/>
      </w:r>
      <w:r w:rsidRPr="004408FF">
        <w:rPr>
          <w:rFonts w:ascii="Aptos" w:eastAsia="Calibri" w:hAnsi="Aptos" w:cs="Calibri"/>
          <w:szCs w:val="24"/>
        </w:rPr>
        <w:tab/>
      </w:r>
      <w:r w:rsidRPr="004408FF">
        <w:rPr>
          <w:rFonts w:ascii="Aptos" w:eastAsia="Calibri" w:hAnsi="Aptos" w:cs="Calibri"/>
          <w:szCs w:val="24"/>
        </w:rPr>
        <w:tab/>
      </w:r>
      <w:r w:rsidRPr="004408FF">
        <w:rPr>
          <w:rFonts w:ascii="Aptos" w:eastAsia="Calibri" w:hAnsi="Aptos" w:cs="Calibri"/>
          <w:szCs w:val="24"/>
        </w:rPr>
        <w:tab/>
      </w:r>
      <w:r w:rsidRPr="004408FF">
        <w:rPr>
          <w:rFonts w:ascii="Aptos" w:eastAsia="Calibri" w:hAnsi="Aptos" w:cs="Calibri"/>
          <w:szCs w:val="24"/>
        </w:rPr>
        <w:tab/>
      </w:r>
      <w:r>
        <w:rPr>
          <w:rFonts w:ascii="Aptos" w:eastAsia="Calibri" w:hAnsi="Aptos" w:cs="Calibri"/>
          <w:szCs w:val="24"/>
        </w:rPr>
        <w:t>07826 671535</w:t>
      </w:r>
    </w:p>
    <w:p w14:paraId="1638BBCA" w14:textId="77777777" w:rsidR="00235162" w:rsidRPr="004408FF" w:rsidRDefault="00235162" w:rsidP="00A65E16">
      <w:pPr>
        <w:jc w:val="both"/>
        <w:rPr>
          <w:rFonts w:ascii="Aptos" w:eastAsia="Calibri" w:hAnsi="Aptos" w:cs="Calibri"/>
          <w:szCs w:val="24"/>
        </w:rPr>
      </w:pPr>
      <w:r w:rsidRPr="004408FF">
        <w:rPr>
          <w:rFonts w:ascii="Aptos" w:eastAsia="Calibri" w:hAnsi="Aptos" w:cs="Calibri"/>
          <w:szCs w:val="24"/>
        </w:rPr>
        <w:t xml:space="preserve">EIDS: </w:t>
      </w:r>
      <w:r w:rsidR="00A65E16" w:rsidRPr="004408FF">
        <w:rPr>
          <w:rFonts w:ascii="Aptos" w:eastAsia="Calibri" w:hAnsi="Aptos" w:cs="Calibri"/>
          <w:szCs w:val="24"/>
        </w:rPr>
        <w:tab/>
        <w:t xml:space="preserve">Dr Richard Newton </w:t>
      </w:r>
      <w:r w:rsidR="00A65E16" w:rsidRPr="004408FF">
        <w:rPr>
          <w:rFonts w:ascii="Aptos" w:eastAsia="Calibri" w:hAnsi="Aptos" w:cs="Calibri"/>
          <w:szCs w:val="24"/>
        </w:rPr>
        <w:tab/>
      </w:r>
      <w:r w:rsidR="00A65E16" w:rsidRPr="004408FF">
        <w:rPr>
          <w:rFonts w:ascii="Aptos" w:eastAsia="Calibri" w:hAnsi="Aptos" w:cs="Calibri"/>
          <w:szCs w:val="24"/>
        </w:rPr>
        <w:tab/>
      </w:r>
      <w:hyperlink r:id="rId12" w:history="1">
        <w:r w:rsidR="00A65E16" w:rsidRPr="004408FF">
          <w:rPr>
            <w:rStyle w:val="Hyperlink"/>
            <w:rFonts w:ascii="Aptos" w:eastAsia="Calibri" w:hAnsi="Aptos" w:cs="Calibri"/>
            <w:szCs w:val="24"/>
          </w:rPr>
          <w:t>equinesurveillance@vet.cam.ac.uk</w:t>
        </w:r>
      </w:hyperlink>
      <w:r w:rsidR="00A65E16" w:rsidRPr="004408FF">
        <w:rPr>
          <w:rFonts w:ascii="Aptos" w:eastAsia="Calibri" w:hAnsi="Aptos" w:cs="Calibri"/>
          <w:szCs w:val="24"/>
        </w:rPr>
        <w:t xml:space="preserve"> </w:t>
      </w:r>
    </w:p>
    <w:p w14:paraId="1988F426" w14:textId="77777777" w:rsidR="00235162" w:rsidRPr="004408FF" w:rsidRDefault="00A65E16" w:rsidP="00A65E16">
      <w:pPr>
        <w:jc w:val="both"/>
        <w:rPr>
          <w:rFonts w:ascii="Aptos" w:eastAsia="Calibri" w:hAnsi="Aptos" w:cs="Calibri"/>
          <w:szCs w:val="24"/>
        </w:rPr>
      </w:pPr>
      <w:r w:rsidRPr="004408FF">
        <w:rPr>
          <w:rFonts w:ascii="Aptos" w:eastAsia="Calibri" w:hAnsi="Aptos" w:cs="Calibri"/>
          <w:szCs w:val="24"/>
        </w:rPr>
        <w:tab/>
      </w:r>
      <w:r w:rsidRPr="004408FF">
        <w:rPr>
          <w:rFonts w:ascii="Aptos" w:eastAsia="Calibri" w:hAnsi="Aptos" w:cs="Calibri"/>
          <w:szCs w:val="24"/>
        </w:rPr>
        <w:tab/>
      </w:r>
      <w:r w:rsidRPr="004408FF">
        <w:rPr>
          <w:rFonts w:ascii="Aptos" w:eastAsia="Calibri" w:hAnsi="Aptos" w:cs="Calibri"/>
          <w:szCs w:val="24"/>
        </w:rPr>
        <w:tab/>
      </w:r>
      <w:r w:rsidRPr="004408FF">
        <w:rPr>
          <w:rFonts w:ascii="Aptos" w:eastAsia="Calibri" w:hAnsi="Aptos" w:cs="Calibri"/>
          <w:szCs w:val="24"/>
        </w:rPr>
        <w:tab/>
      </w:r>
      <w:r w:rsidRPr="004408FF">
        <w:rPr>
          <w:rFonts w:ascii="Aptos" w:eastAsia="Calibri" w:hAnsi="Aptos" w:cs="Calibri"/>
          <w:szCs w:val="24"/>
        </w:rPr>
        <w:tab/>
        <w:t>01223 766496</w:t>
      </w:r>
    </w:p>
    <w:p w14:paraId="360B1F63" w14:textId="77777777" w:rsidR="004E68B1" w:rsidRPr="004408FF" w:rsidRDefault="00235162" w:rsidP="006E47AB">
      <w:pPr>
        <w:ind w:left="705" w:hanging="705"/>
        <w:jc w:val="both"/>
        <w:rPr>
          <w:rFonts w:ascii="Aptos" w:eastAsia="Calibri" w:hAnsi="Aptos" w:cs="Calibri"/>
          <w:szCs w:val="24"/>
        </w:rPr>
      </w:pPr>
      <w:r w:rsidRPr="004408FF">
        <w:rPr>
          <w:rFonts w:ascii="Aptos" w:eastAsia="Calibri" w:hAnsi="Aptos" w:cs="Calibri"/>
          <w:szCs w:val="24"/>
        </w:rPr>
        <w:t>HBL</w:t>
      </w:r>
      <w:r w:rsidR="00A65E16" w:rsidRPr="004408FF">
        <w:rPr>
          <w:rFonts w:ascii="Aptos" w:eastAsia="Calibri" w:hAnsi="Aptos" w:cs="Calibri"/>
          <w:szCs w:val="24"/>
        </w:rPr>
        <w:t xml:space="preserve">B: </w:t>
      </w:r>
      <w:r w:rsidR="004E68B1" w:rsidRPr="004408FF">
        <w:rPr>
          <w:rFonts w:ascii="Aptos" w:eastAsia="Calibri" w:hAnsi="Aptos" w:cs="Calibri"/>
          <w:szCs w:val="24"/>
        </w:rPr>
        <w:tab/>
      </w:r>
      <w:r w:rsidR="004E68B1" w:rsidRPr="004408FF">
        <w:rPr>
          <w:rFonts w:ascii="Aptos" w:eastAsia="Calibri" w:hAnsi="Aptos" w:cs="Calibri"/>
          <w:szCs w:val="24"/>
        </w:rPr>
        <w:tab/>
      </w:r>
      <w:r w:rsidRPr="004408FF">
        <w:rPr>
          <w:rFonts w:ascii="Aptos" w:eastAsia="Calibri" w:hAnsi="Aptos" w:cs="Calibri"/>
          <w:szCs w:val="24"/>
        </w:rPr>
        <w:t xml:space="preserve">Annie Dodd </w:t>
      </w:r>
      <w:r w:rsidRPr="004408FF">
        <w:rPr>
          <w:rFonts w:ascii="Aptos" w:eastAsia="Calibri" w:hAnsi="Aptos" w:cs="Calibri"/>
          <w:szCs w:val="24"/>
        </w:rPr>
        <w:tab/>
      </w:r>
      <w:r w:rsidR="007C4876" w:rsidRPr="004408FF">
        <w:rPr>
          <w:rFonts w:ascii="Aptos" w:eastAsia="Calibri" w:hAnsi="Aptos" w:cs="Calibri"/>
          <w:szCs w:val="24"/>
        </w:rPr>
        <w:tab/>
      </w:r>
      <w:r w:rsidR="00A65E16" w:rsidRPr="004408FF">
        <w:rPr>
          <w:rFonts w:ascii="Aptos" w:eastAsia="Calibri" w:hAnsi="Aptos" w:cs="Calibri"/>
          <w:szCs w:val="24"/>
        </w:rPr>
        <w:tab/>
      </w:r>
      <w:hyperlink r:id="rId13" w:history="1">
        <w:r w:rsidR="00A65E16" w:rsidRPr="004408FF">
          <w:rPr>
            <w:rStyle w:val="Hyperlink"/>
            <w:rFonts w:ascii="Aptos" w:eastAsia="Calibri" w:hAnsi="Aptos" w:cs="Calibri"/>
            <w:szCs w:val="24"/>
          </w:rPr>
          <w:t>equinegrants@hblb.org.uk</w:t>
        </w:r>
      </w:hyperlink>
      <w:r w:rsidRPr="004408FF">
        <w:rPr>
          <w:rFonts w:ascii="Aptos" w:eastAsia="Calibri" w:hAnsi="Aptos" w:cs="Calibri"/>
          <w:szCs w:val="24"/>
        </w:rPr>
        <w:t xml:space="preserve"> </w:t>
      </w:r>
      <w:r w:rsidRPr="004408FF">
        <w:rPr>
          <w:rFonts w:ascii="Aptos" w:eastAsia="Calibri" w:hAnsi="Aptos" w:cs="Calibri"/>
          <w:szCs w:val="24"/>
        </w:rPr>
        <w:tab/>
      </w:r>
    </w:p>
    <w:p w14:paraId="63BFDAAD" w14:textId="77777777" w:rsidR="00235162" w:rsidRPr="00270404" w:rsidRDefault="00A65E16" w:rsidP="00A65E16">
      <w:pPr>
        <w:ind w:left="2880" w:firstLine="720"/>
        <w:jc w:val="both"/>
        <w:rPr>
          <w:rFonts w:ascii="Aptos" w:eastAsia="Calibri" w:hAnsi="Aptos" w:cs="Calibri"/>
          <w:szCs w:val="24"/>
        </w:rPr>
      </w:pPr>
      <w:r>
        <w:rPr>
          <w:rFonts w:ascii="Aptos" w:eastAsia="Calibri" w:hAnsi="Aptos" w:cs="Calibri"/>
          <w:szCs w:val="24"/>
        </w:rPr>
        <w:t>0</w:t>
      </w:r>
      <w:r w:rsidR="00235162" w:rsidRPr="00270404">
        <w:rPr>
          <w:rFonts w:ascii="Aptos" w:eastAsia="Calibri" w:hAnsi="Aptos" w:cs="Calibri"/>
          <w:szCs w:val="24"/>
        </w:rPr>
        <w:t xml:space="preserve">7785 390922 / 020 7333 0043 </w:t>
      </w:r>
    </w:p>
    <w:p w14:paraId="52350426" w14:textId="77777777" w:rsidR="00750C26" w:rsidRDefault="00750C26" w:rsidP="006E47AB">
      <w:pPr>
        <w:ind w:left="705" w:hanging="705"/>
        <w:jc w:val="both"/>
        <w:rPr>
          <w:rFonts w:ascii="Aptos" w:eastAsia="Calibri" w:hAnsi="Aptos" w:cs="Calibri"/>
          <w:szCs w:val="24"/>
        </w:rPr>
      </w:pPr>
      <w:r w:rsidRPr="00270404">
        <w:rPr>
          <w:rFonts w:ascii="Aptos" w:eastAsia="Calibri" w:hAnsi="Aptos" w:cs="Calibri"/>
          <w:szCs w:val="24"/>
        </w:rPr>
        <w:t xml:space="preserve">NTF: </w:t>
      </w:r>
      <w:r w:rsidR="00A65E16">
        <w:rPr>
          <w:rFonts w:ascii="Aptos" w:eastAsia="Calibri" w:hAnsi="Aptos" w:cs="Calibri"/>
          <w:szCs w:val="24"/>
        </w:rPr>
        <w:tab/>
        <w:t xml:space="preserve">Office </w:t>
      </w:r>
      <w:r w:rsidR="00A65E16">
        <w:rPr>
          <w:rFonts w:ascii="Aptos" w:eastAsia="Calibri" w:hAnsi="Aptos" w:cs="Calibri"/>
          <w:szCs w:val="24"/>
        </w:rPr>
        <w:tab/>
      </w:r>
      <w:r w:rsidR="00A65E16">
        <w:rPr>
          <w:rFonts w:ascii="Aptos" w:eastAsia="Calibri" w:hAnsi="Aptos" w:cs="Calibri"/>
          <w:szCs w:val="24"/>
        </w:rPr>
        <w:tab/>
      </w:r>
      <w:r w:rsidR="00A65E16">
        <w:rPr>
          <w:rFonts w:ascii="Aptos" w:eastAsia="Calibri" w:hAnsi="Aptos" w:cs="Calibri"/>
          <w:szCs w:val="24"/>
        </w:rPr>
        <w:tab/>
      </w:r>
      <w:r w:rsidR="00A65E16">
        <w:rPr>
          <w:rFonts w:ascii="Aptos" w:eastAsia="Calibri" w:hAnsi="Aptos" w:cs="Calibri"/>
          <w:szCs w:val="24"/>
        </w:rPr>
        <w:tab/>
      </w:r>
      <w:hyperlink r:id="rId14" w:history="1">
        <w:r w:rsidR="00A65E16" w:rsidRPr="00540263">
          <w:rPr>
            <w:rStyle w:val="Hyperlink"/>
            <w:rFonts w:ascii="Aptos" w:eastAsia="Calibri" w:hAnsi="Aptos" w:cs="Calibri"/>
            <w:szCs w:val="24"/>
          </w:rPr>
          <w:t>info@racehorsetrainers.org</w:t>
        </w:r>
      </w:hyperlink>
    </w:p>
    <w:p w14:paraId="56ED15D2" w14:textId="77777777" w:rsidR="00750C26" w:rsidRPr="00270404" w:rsidRDefault="00A65E16" w:rsidP="00A65E16">
      <w:pPr>
        <w:ind w:left="705" w:hanging="705"/>
        <w:jc w:val="both"/>
        <w:rPr>
          <w:rFonts w:ascii="Aptos" w:eastAsia="Calibri" w:hAnsi="Aptos" w:cs="Calibri"/>
          <w:szCs w:val="24"/>
        </w:rPr>
      </w:pPr>
      <w:r>
        <w:rPr>
          <w:rFonts w:ascii="Aptos" w:eastAsia="Calibri" w:hAnsi="Aptos" w:cs="Calibri"/>
          <w:szCs w:val="24"/>
        </w:rPr>
        <w:tab/>
      </w:r>
      <w:r>
        <w:rPr>
          <w:rFonts w:ascii="Aptos" w:eastAsia="Calibri" w:hAnsi="Aptos" w:cs="Calibri"/>
          <w:szCs w:val="24"/>
        </w:rPr>
        <w:tab/>
      </w:r>
      <w:r>
        <w:rPr>
          <w:rFonts w:ascii="Aptos" w:eastAsia="Calibri" w:hAnsi="Aptos" w:cs="Calibri"/>
          <w:szCs w:val="24"/>
        </w:rPr>
        <w:tab/>
      </w:r>
      <w:r>
        <w:rPr>
          <w:rFonts w:ascii="Aptos" w:eastAsia="Calibri" w:hAnsi="Aptos" w:cs="Calibri"/>
          <w:szCs w:val="24"/>
        </w:rPr>
        <w:tab/>
      </w:r>
      <w:r>
        <w:rPr>
          <w:rFonts w:ascii="Aptos" w:eastAsia="Calibri" w:hAnsi="Aptos" w:cs="Calibri"/>
          <w:szCs w:val="24"/>
        </w:rPr>
        <w:tab/>
      </w:r>
      <w:r>
        <w:rPr>
          <w:rFonts w:ascii="Aptos" w:eastAsia="Calibri" w:hAnsi="Aptos" w:cs="Calibri"/>
          <w:szCs w:val="24"/>
        </w:rPr>
        <w:tab/>
        <w:t>01488 71719</w:t>
      </w:r>
    </w:p>
    <w:p w14:paraId="606B0855" w14:textId="77777777" w:rsidR="00A65E16" w:rsidRDefault="000863F7" w:rsidP="006E47AB">
      <w:pPr>
        <w:ind w:left="705" w:hanging="705"/>
        <w:jc w:val="both"/>
        <w:rPr>
          <w:rFonts w:ascii="Aptos" w:eastAsia="Calibri" w:hAnsi="Aptos" w:cs="Calibri"/>
          <w:szCs w:val="24"/>
        </w:rPr>
      </w:pPr>
      <w:r w:rsidRPr="00270404">
        <w:rPr>
          <w:rFonts w:ascii="Aptos" w:eastAsia="Calibri" w:hAnsi="Aptos" w:cs="Calibri"/>
          <w:szCs w:val="24"/>
        </w:rPr>
        <w:t xml:space="preserve">ROA: </w:t>
      </w:r>
      <w:r w:rsidR="00A65E16">
        <w:rPr>
          <w:rFonts w:ascii="Aptos" w:eastAsia="Calibri" w:hAnsi="Aptos" w:cs="Calibri"/>
          <w:szCs w:val="24"/>
        </w:rPr>
        <w:tab/>
        <w:t xml:space="preserve">Office </w:t>
      </w:r>
      <w:r w:rsidR="00A65E16">
        <w:rPr>
          <w:rFonts w:ascii="Aptos" w:eastAsia="Calibri" w:hAnsi="Aptos" w:cs="Calibri"/>
          <w:szCs w:val="24"/>
        </w:rPr>
        <w:tab/>
      </w:r>
      <w:r w:rsidR="00A65E16">
        <w:rPr>
          <w:rFonts w:ascii="Aptos" w:eastAsia="Calibri" w:hAnsi="Aptos" w:cs="Calibri"/>
          <w:szCs w:val="24"/>
        </w:rPr>
        <w:tab/>
      </w:r>
      <w:r w:rsidR="00A65E16">
        <w:rPr>
          <w:rFonts w:ascii="Aptos" w:eastAsia="Calibri" w:hAnsi="Aptos" w:cs="Calibri"/>
          <w:szCs w:val="24"/>
        </w:rPr>
        <w:tab/>
      </w:r>
      <w:r w:rsidR="00A65E16">
        <w:rPr>
          <w:rFonts w:ascii="Aptos" w:eastAsia="Calibri" w:hAnsi="Aptos" w:cs="Calibri"/>
          <w:szCs w:val="24"/>
        </w:rPr>
        <w:tab/>
      </w:r>
      <w:hyperlink r:id="rId15" w:history="1">
        <w:r w:rsidR="00A65E16" w:rsidRPr="00540263">
          <w:rPr>
            <w:rStyle w:val="Hyperlink"/>
            <w:rFonts w:ascii="Aptos" w:eastAsia="Calibri" w:hAnsi="Aptos" w:cs="Calibri"/>
            <w:szCs w:val="24"/>
          </w:rPr>
          <w:t>info@roa.co.uk</w:t>
        </w:r>
      </w:hyperlink>
      <w:r w:rsidR="00A65E16">
        <w:rPr>
          <w:rFonts w:ascii="Aptos" w:eastAsia="Calibri" w:hAnsi="Aptos" w:cs="Calibri"/>
          <w:szCs w:val="24"/>
        </w:rPr>
        <w:t xml:space="preserve"> </w:t>
      </w:r>
    </w:p>
    <w:p w14:paraId="052B8611" w14:textId="77777777" w:rsidR="000863F7" w:rsidRPr="00270404" w:rsidRDefault="00A65E16" w:rsidP="00A65E16">
      <w:pPr>
        <w:ind w:left="3585" w:firstLine="15"/>
        <w:jc w:val="both"/>
        <w:rPr>
          <w:rFonts w:ascii="Aptos" w:eastAsia="Calibri" w:hAnsi="Aptos" w:cs="Calibri"/>
          <w:szCs w:val="24"/>
        </w:rPr>
      </w:pPr>
      <w:r>
        <w:rPr>
          <w:rFonts w:ascii="Aptos" w:eastAsia="Calibri" w:hAnsi="Aptos" w:cs="Calibri"/>
          <w:szCs w:val="24"/>
        </w:rPr>
        <w:t>0118 338 5680</w:t>
      </w:r>
    </w:p>
    <w:p w14:paraId="71C2DDD7" w14:textId="77777777" w:rsidR="00750C26" w:rsidRPr="00270404" w:rsidRDefault="00235162" w:rsidP="006E47AB">
      <w:pPr>
        <w:ind w:left="705" w:hanging="705"/>
        <w:jc w:val="both"/>
        <w:rPr>
          <w:rFonts w:ascii="Aptos" w:eastAsia="Calibri" w:hAnsi="Aptos" w:cs="Calibri"/>
          <w:szCs w:val="24"/>
        </w:rPr>
      </w:pPr>
      <w:r w:rsidRPr="00270404">
        <w:rPr>
          <w:rFonts w:ascii="Aptos" w:eastAsia="Calibri" w:hAnsi="Aptos" w:cs="Calibri"/>
          <w:szCs w:val="24"/>
        </w:rPr>
        <w:t>TBA</w:t>
      </w:r>
      <w:r w:rsidR="00750C26" w:rsidRPr="00270404">
        <w:rPr>
          <w:rFonts w:ascii="Aptos" w:eastAsia="Calibri" w:hAnsi="Aptos" w:cs="Calibri"/>
          <w:szCs w:val="24"/>
        </w:rPr>
        <w:t xml:space="preserve">: </w:t>
      </w:r>
      <w:r w:rsidR="007C4876" w:rsidRPr="00270404">
        <w:rPr>
          <w:rFonts w:ascii="Aptos" w:eastAsia="Calibri" w:hAnsi="Aptos" w:cs="Calibri"/>
          <w:szCs w:val="24"/>
        </w:rPr>
        <w:tab/>
      </w:r>
      <w:r w:rsidR="007C4876" w:rsidRPr="00270404">
        <w:rPr>
          <w:rFonts w:ascii="Aptos" w:eastAsia="Calibri" w:hAnsi="Aptos" w:cs="Calibri"/>
          <w:szCs w:val="24"/>
        </w:rPr>
        <w:tab/>
        <w:t xml:space="preserve">James Crowhurst </w:t>
      </w:r>
      <w:r w:rsidR="007C4876" w:rsidRPr="00270404">
        <w:rPr>
          <w:rFonts w:ascii="Aptos" w:eastAsia="Calibri" w:hAnsi="Aptos" w:cs="Calibri"/>
          <w:szCs w:val="24"/>
        </w:rPr>
        <w:tab/>
      </w:r>
      <w:r w:rsidR="00A65E16">
        <w:rPr>
          <w:rFonts w:ascii="Aptos" w:eastAsia="Calibri" w:hAnsi="Aptos" w:cs="Calibri"/>
          <w:szCs w:val="24"/>
        </w:rPr>
        <w:tab/>
      </w:r>
      <w:hyperlink r:id="rId16" w:history="1">
        <w:r w:rsidR="00A65E16" w:rsidRPr="00540263">
          <w:rPr>
            <w:rStyle w:val="Hyperlink"/>
            <w:rFonts w:ascii="Aptos" w:eastAsia="Calibri" w:hAnsi="Aptos" w:cs="Calibri"/>
            <w:szCs w:val="24"/>
          </w:rPr>
          <w:t>james.crowhurst@neh.uk.com</w:t>
        </w:r>
      </w:hyperlink>
    </w:p>
    <w:p w14:paraId="5BC56CA0" w14:textId="77777777" w:rsidR="007C4876" w:rsidRDefault="007C4876" w:rsidP="006E47AB">
      <w:pPr>
        <w:ind w:left="705" w:hanging="705"/>
        <w:jc w:val="both"/>
        <w:rPr>
          <w:rFonts w:ascii="Aptos" w:eastAsia="Calibri" w:hAnsi="Aptos" w:cs="Calibri"/>
          <w:szCs w:val="24"/>
        </w:rPr>
      </w:pPr>
      <w:r w:rsidRPr="00270404">
        <w:rPr>
          <w:rFonts w:ascii="Aptos" w:eastAsia="Calibri" w:hAnsi="Aptos" w:cs="Calibri"/>
          <w:szCs w:val="24"/>
        </w:rPr>
        <w:tab/>
      </w:r>
      <w:r w:rsidRPr="00270404">
        <w:rPr>
          <w:rFonts w:ascii="Aptos" w:eastAsia="Calibri" w:hAnsi="Aptos" w:cs="Calibri"/>
          <w:szCs w:val="24"/>
        </w:rPr>
        <w:tab/>
      </w:r>
      <w:r w:rsidRPr="00270404">
        <w:rPr>
          <w:rFonts w:ascii="Aptos" w:eastAsia="Calibri" w:hAnsi="Aptos" w:cs="Calibri"/>
          <w:szCs w:val="24"/>
        </w:rPr>
        <w:tab/>
      </w:r>
      <w:r w:rsidRPr="00270404">
        <w:rPr>
          <w:rFonts w:ascii="Aptos" w:eastAsia="Calibri" w:hAnsi="Aptos" w:cs="Calibri"/>
          <w:szCs w:val="24"/>
        </w:rPr>
        <w:tab/>
      </w:r>
      <w:r w:rsidRPr="00270404">
        <w:rPr>
          <w:rFonts w:ascii="Aptos" w:eastAsia="Calibri" w:hAnsi="Aptos" w:cs="Calibri"/>
          <w:szCs w:val="24"/>
        </w:rPr>
        <w:tab/>
      </w:r>
      <w:r w:rsidRPr="00270404">
        <w:rPr>
          <w:rFonts w:ascii="Aptos" w:eastAsia="Calibri" w:hAnsi="Aptos" w:cs="Calibri"/>
          <w:szCs w:val="24"/>
        </w:rPr>
        <w:tab/>
        <w:t>07774 164244</w:t>
      </w:r>
    </w:p>
    <w:sectPr w:rsidR="007C4876" w:rsidSect="00346083">
      <w:headerReference w:type="default" r:id="rId17"/>
      <w:footerReference w:type="default" r:id="rId18"/>
      <w:pgSz w:w="11907" w:h="16840" w:code="9"/>
      <w:pgMar w:top="1440" w:right="1077" w:bottom="1134" w:left="1077" w:header="340" w:footer="79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6DC33" w14:textId="77777777" w:rsidR="00A817D3" w:rsidRDefault="00A817D3" w:rsidP="002E67DA">
      <w:r>
        <w:separator/>
      </w:r>
    </w:p>
  </w:endnote>
  <w:endnote w:type="continuationSeparator" w:id="0">
    <w:p w14:paraId="47921E2E" w14:textId="77777777" w:rsidR="00A817D3" w:rsidRDefault="00A817D3" w:rsidP="002E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5954" w14:textId="77777777" w:rsidR="008407C0" w:rsidRPr="00E26CBA" w:rsidRDefault="008407C0">
    <w:pPr>
      <w:pStyle w:val="Footer"/>
      <w:jc w:val="right"/>
      <w:rPr>
        <w:rFonts w:ascii="Calibri" w:hAnsi="Calibri" w:cs="Calibri"/>
        <w:sz w:val="16"/>
        <w:szCs w:val="16"/>
      </w:rPr>
    </w:pPr>
    <w:r w:rsidRPr="00E26CBA">
      <w:rPr>
        <w:rFonts w:ascii="Calibri" w:hAnsi="Calibri" w:cs="Calibri"/>
        <w:sz w:val="16"/>
        <w:szCs w:val="16"/>
      </w:rPr>
      <w:t xml:space="preserve">Page </w:t>
    </w:r>
    <w:r w:rsidRPr="00E26CBA">
      <w:rPr>
        <w:rFonts w:ascii="Calibri" w:hAnsi="Calibri" w:cs="Calibri"/>
        <w:sz w:val="16"/>
        <w:szCs w:val="16"/>
      </w:rPr>
      <w:fldChar w:fldCharType="begin"/>
    </w:r>
    <w:r w:rsidRPr="00E26CBA">
      <w:rPr>
        <w:rFonts w:ascii="Calibri" w:hAnsi="Calibri" w:cs="Calibri"/>
        <w:sz w:val="16"/>
        <w:szCs w:val="16"/>
      </w:rPr>
      <w:instrText xml:space="preserve"> PAGE </w:instrText>
    </w:r>
    <w:r w:rsidRPr="00E26CBA">
      <w:rPr>
        <w:rFonts w:ascii="Calibri" w:hAnsi="Calibri" w:cs="Calibri"/>
        <w:sz w:val="16"/>
        <w:szCs w:val="16"/>
      </w:rPr>
      <w:fldChar w:fldCharType="separate"/>
    </w:r>
    <w:r w:rsidR="00187057">
      <w:rPr>
        <w:rFonts w:ascii="Calibri" w:hAnsi="Calibri" w:cs="Calibri"/>
        <w:noProof/>
        <w:sz w:val="16"/>
        <w:szCs w:val="16"/>
      </w:rPr>
      <w:t>1</w:t>
    </w:r>
    <w:r w:rsidRPr="00E26CBA">
      <w:rPr>
        <w:rFonts w:ascii="Calibri" w:hAnsi="Calibri" w:cs="Calibri"/>
        <w:sz w:val="16"/>
        <w:szCs w:val="16"/>
      </w:rPr>
      <w:fldChar w:fldCharType="end"/>
    </w:r>
    <w:r w:rsidRPr="00E26CBA">
      <w:rPr>
        <w:rFonts w:ascii="Calibri" w:hAnsi="Calibri" w:cs="Calibri"/>
        <w:sz w:val="16"/>
        <w:szCs w:val="16"/>
      </w:rPr>
      <w:t xml:space="preserve"> of </w:t>
    </w:r>
    <w:r w:rsidRPr="00E26CBA">
      <w:rPr>
        <w:rFonts w:ascii="Calibri" w:hAnsi="Calibri" w:cs="Calibri"/>
        <w:sz w:val="16"/>
        <w:szCs w:val="16"/>
      </w:rPr>
      <w:fldChar w:fldCharType="begin"/>
    </w:r>
    <w:r w:rsidRPr="00E26CBA">
      <w:rPr>
        <w:rFonts w:ascii="Calibri" w:hAnsi="Calibri" w:cs="Calibri"/>
        <w:sz w:val="16"/>
        <w:szCs w:val="16"/>
      </w:rPr>
      <w:instrText xml:space="preserve"> NUMPAGES  </w:instrText>
    </w:r>
    <w:r w:rsidRPr="00E26CBA">
      <w:rPr>
        <w:rFonts w:ascii="Calibri" w:hAnsi="Calibri" w:cs="Calibri"/>
        <w:sz w:val="16"/>
        <w:szCs w:val="16"/>
      </w:rPr>
      <w:fldChar w:fldCharType="separate"/>
    </w:r>
    <w:r w:rsidR="00187057">
      <w:rPr>
        <w:rFonts w:ascii="Calibri" w:hAnsi="Calibri" w:cs="Calibri"/>
        <w:noProof/>
        <w:sz w:val="16"/>
        <w:szCs w:val="16"/>
      </w:rPr>
      <w:t>1</w:t>
    </w:r>
    <w:r w:rsidRPr="00E26CBA">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DDD9C" w14:textId="77777777" w:rsidR="00A817D3" w:rsidRDefault="00A817D3" w:rsidP="002E67DA">
      <w:r>
        <w:separator/>
      </w:r>
    </w:p>
  </w:footnote>
  <w:footnote w:type="continuationSeparator" w:id="0">
    <w:p w14:paraId="661C6462" w14:textId="77777777" w:rsidR="00A817D3" w:rsidRDefault="00A817D3" w:rsidP="002E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F1AF" w14:textId="4E915A01" w:rsidR="008C156F" w:rsidRDefault="00446BCE" w:rsidP="008C156F">
    <w:pPr>
      <w:pStyle w:val="Header"/>
      <w:pBdr>
        <w:bottom w:val="single" w:sz="4" w:space="1" w:color="auto"/>
      </w:pBdr>
      <w:tabs>
        <w:tab w:val="clear" w:pos="9026"/>
        <w:tab w:val="right" w:pos="9747"/>
      </w:tabs>
      <w:jc w:val="center"/>
      <w:rPr>
        <w:rFonts w:ascii="Calibri" w:hAnsi="Calibri" w:cs="Calibri"/>
        <w:b/>
        <w:bCs/>
        <w:sz w:val="20"/>
      </w:rPr>
    </w:pPr>
    <w:r w:rsidRPr="00516662">
      <w:rPr>
        <w:noProof/>
      </w:rPr>
      <w:drawing>
        <wp:inline distT="0" distB="0" distL="0" distR="0" wp14:anchorId="52980663" wp14:editId="4D945518">
          <wp:extent cx="1276985" cy="904240"/>
          <wp:effectExtent l="0" t="0" r="0" b="0"/>
          <wp:docPr id="1" name="Picture 2" descr="HBLB_logo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LB_logo_1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985" cy="904240"/>
                  </a:xfrm>
                  <a:prstGeom prst="rect">
                    <a:avLst/>
                  </a:prstGeom>
                  <a:noFill/>
                  <a:ln>
                    <a:noFill/>
                  </a:ln>
                </pic:spPr>
              </pic:pic>
            </a:graphicData>
          </a:graphic>
        </wp:inline>
      </w:drawing>
    </w:r>
  </w:p>
  <w:p w14:paraId="049CAEA7" w14:textId="77777777" w:rsidR="008C156F" w:rsidRDefault="008C1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0443"/>
    <w:multiLevelType w:val="hybridMultilevel"/>
    <w:tmpl w:val="623E5B26"/>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 w15:restartNumberingAfterBreak="0">
    <w:nsid w:val="07E21EC4"/>
    <w:multiLevelType w:val="hybridMultilevel"/>
    <w:tmpl w:val="CDE44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B4123"/>
    <w:multiLevelType w:val="hybridMultilevel"/>
    <w:tmpl w:val="433E22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347D2"/>
    <w:multiLevelType w:val="hybridMultilevel"/>
    <w:tmpl w:val="F1D0670C"/>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D1048"/>
    <w:multiLevelType w:val="hybridMultilevel"/>
    <w:tmpl w:val="CA26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E1A27"/>
    <w:multiLevelType w:val="hybridMultilevel"/>
    <w:tmpl w:val="5934B3B4"/>
    <w:lvl w:ilvl="0" w:tplc="0A6C2C0C">
      <w:start w:val="1"/>
      <w:numFmt w:val="lowerRoman"/>
      <w:lvlText w:val="%1)"/>
      <w:lvlJc w:val="left"/>
      <w:pPr>
        <w:ind w:left="1425" w:hanging="72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15:restartNumberingAfterBreak="0">
    <w:nsid w:val="17166A57"/>
    <w:multiLevelType w:val="hybridMultilevel"/>
    <w:tmpl w:val="CC44C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912124"/>
    <w:multiLevelType w:val="hybridMultilevel"/>
    <w:tmpl w:val="4DA07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AC7D2E"/>
    <w:multiLevelType w:val="hybridMultilevel"/>
    <w:tmpl w:val="1EA60EEE"/>
    <w:lvl w:ilvl="0" w:tplc="C42C842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03F27"/>
    <w:multiLevelType w:val="hybridMultilevel"/>
    <w:tmpl w:val="CAD28A7C"/>
    <w:lvl w:ilvl="0" w:tplc="C1E6200C">
      <w:start w:val="5"/>
      <w:numFmt w:val="lowerRoman"/>
      <w:lvlText w:val="%1."/>
      <w:lvlJc w:val="left"/>
      <w:pPr>
        <w:ind w:left="1440" w:hanging="72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0" w15:restartNumberingAfterBreak="0">
    <w:nsid w:val="2A07032B"/>
    <w:multiLevelType w:val="hybridMultilevel"/>
    <w:tmpl w:val="52086EE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1" w15:restartNumberingAfterBreak="0">
    <w:nsid w:val="376600BC"/>
    <w:multiLevelType w:val="hybridMultilevel"/>
    <w:tmpl w:val="E976E26E"/>
    <w:lvl w:ilvl="0" w:tplc="498CF336">
      <w:start w:val="841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92DA4"/>
    <w:multiLevelType w:val="hybridMultilevel"/>
    <w:tmpl w:val="CE5C149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C31F2B"/>
    <w:multiLevelType w:val="hybridMultilevel"/>
    <w:tmpl w:val="74DA29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560FF8"/>
    <w:multiLevelType w:val="hybridMultilevel"/>
    <w:tmpl w:val="A59CD6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A62463D"/>
    <w:multiLevelType w:val="hybridMultilevel"/>
    <w:tmpl w:val="3A16D68E"/>
    <w:lvl w:ilvl="0" w:tplc="A67A0CF4">
      <w:start w:val="1"/>
      <w:numFmt w:val="lowerRoman"/>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16" w15:restartNumberingAfterBreak="0">
    <w:nsid w:val="54AD3DBF"/>
    <w:multiLevelType w:val="hybridMultilevel"/>
    <w:tmpl w:val="4EC079D8"/>
    <w:lvl w:ilvl="0" w:tplc="294E1762">
      <w:start w:val="7"/>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E87324B"/>
    <w:multiLevelType w:val="multilevel"/>
    <w:tmpl w:val="5D446D82"/>
    <w:lvl w:ilvl="0">
      <w:start w:val="1"/>
      <w:numFmt w:val="decimal"/>
      <w:lvlText w:val="%1"/>
      <w:lvlJc w:val="left"/>
      <w:pPr>
        <w:ind w:left="1080" w:hanging="72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E8E39AC"/>
    <w:multiLevelType w:val="hybridMultilevel"/>
    <w:tmpl w:val="2E82A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6C6475"/>
    <w:multiLevelType w:val="hybridMultilevel"/>
    <w:tmpl w:val="60EA8C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8973565"/>
    <w:multiLevelType w:val="hybridMultilevel"/>
    <w:tmpl w:val="3DD6B6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954359"/>
    <w:multiLevelType w:val="hybridMultilevel"/>
    <w:tmpl w:val="A7F85EE4"/>
    <w:lvl w:ilvl="0" w:tplc="E5A0B90C">
      <w:start w:val="1"/>
      <w:numFmt w:val="lowerLetter"/>
      <w:lvlText w:val="%1."/>
      <w:lvlJc w:val="left"/>
      <w:pPr>
        <w:ind w:left="1440" w:hanging="360"/>
      </w:pPr>
      <w:rPr>
        <w:rFonts w:ascii="Calibri" w:eastAsia="Times New Roman" w:hAnsi="Calibri" w:cs="Arial"/>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9F51A0"/>
    <w:multiLevelType w:val="hybridMultilevel"/>
    <w:tmpl w:val="59300E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927809178">
    <w:abstractNumId w:val="7"/>
  </w:num>
  <w:num w:numId="2" w16cid:durableId="497814471">
    <w:abstractNumId w:val="2"/>
  </w:num>
  <w:num w:numId="3" w16cid:durableId="2069451745">
    <w:abstractNumId w:val="3"/>
  </w:num>
  <w:num w:numId="4" w16cid:durableId="859777588">
    <w:abstractNumId w:val="16"/>
  </w:num>
  <w:num w:numId="5" w16cid:durableId="928122593">
    <w:abstractNumId w:val="12"/>
  </w:num>
  <w:num w:numId="6" w16cid:durableId="568536043">
    <w:abstractNumId w:val="21"/>
  </w:num>
  <w:num w:numId="7" w16cid:durableId="116801558">
    <w:abstractNumId w:val="4"/>
  </w:num>
  <w:num w:numId="8" w16cid:durableId="13435049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161468">
    <w:abstractNumId w:val="8"/>
  </w:num>
  <w:num w:numId="10" w16cid:durableId="1446264859">
    <w:abstractNumId w:val="22"/>
  </w:num>
  <w:num w:numId="11" w16cid:durableId="34279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3908976">
    <w:abstractNumId w:val="5"/>
  </w:num>
  <w:num w:numId="13" w16cid:durableId="1586647807">
    <w:abstractNumId w:val="14"/>
  </w:num>
  <w:num w:numId="14" w16cid:durableId="904989604">
    <w:abstractNumId w:val="10"/>
  </w:num>
  <w:num w:numId="15" w16cid:durableId="1094789328">
    <w:abstractNumId w:val="15"/>
  </w:num>
  <w:num w:numId="16" w16cid:durableId="1824808814">
    <w:abstractNumId w:val="17"/>
  </w:num>
  <w:num w:numId="17" w16cid:durableId="1354961223">
    <w:abstractNumId w:val="0"/>
  </w:num>
  <w:num w:numId="18" w16cid:durableId="1983346568">
    <w:abstractNumId w:val="18"/>
  </w:num>
  <w:num w:numId="19" w16cid:durableId="1698314333">
    <w:abstractNumId w:val="11"/>
  </w:num>
  <w:num w:numId="20" w16cid:durableId="1289388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7284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0308269">
    <w:abstractNumId w:val="1"/>
  </w:num>
  <w:num w:numId="23" w16cid:durableId="13167159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F8"/>
    <w:rsid w:val="000272AD"/>
    <w:rsid w:val="00051581"/>
    <w:rsid w:val="000615F3"/>
    <w:rsid w:val="000644E1"/>
    <w:rsid w:val="00065E8F"/>
    <w:rsid w:val="00067223"/>
    <w:rsid w:val="0007007E"/>
    <w:rsid w:val="000724A7"/>
    <w:rsid w:val="00084F5E"/>
    <w:rsid w:val="00085F87"/>
    <w:rsid w:val="000863F7"/>
    <w:rsid w:val="0008668C"/>
    <w:rsid w:val="00097EFE"/>
    <w:rsid w:val="000A0361"/>
    <w:rsid w:val="000B2282"/>
    <w:rsid w:val="000B42A3"/>
    <w:rsid w:val="000C6A85"/>
    <w:rsid w:val="000E2201"/>
    <w:rsid w:val="000F08BD"/>
    <w:rsid w:val="000F0F0D"/>
    <w:rsid w:val="00110AE4"/>
    <w:rsid w:val="00120E9C"/>
    <w:rsid w:val="0012602F"/>
    <w:rsid w:val="00144C04"/>
    <w:rsid w:val="0017207D"/>
    <w:rsid w:val="00181B98"/>
    <w:rsid w:val="00187057"/>
    <w:rsid w:val="00192400"/>
    <w:rsid w:val="001A33D5"/>
    <w:rsid w:val="001B6456"/>
    <w:rsid w:val="001C03F0"/>
    <w:rsid w:val="001C2A16"/>
    <w:rsid w:val="001D0775"/>
    <w:rsid w:val="001D2DC5"/>
    <w:rsid w:val="001D6FA4"/>
    <w:rsid w:val="001E0CE9"/>
    <w:rsid w:val="001E515A"/>
    <w:rsid w:val="001F19A5"/>
    <w:rsid w:val="001F4607"/>
    <w:rsid w:val="001F6107"/>
    <w:rsid w:val="002054D8"/>
    <w:rsid w:val="00212B41"/>
    <w:rsid w:val="00221031"/>
    <w:rsid w:val="00222D9B"/>
    <w:rsid w:val="002318D6"/>
    <w:rsid w:val="00235162"/>
    <w:rsid w:val="00240B7E"/>
    <w:rsid w:val="00242557"/>
    <w:rsid w:val="00243EC8"/>
    <w:rsid w:val="0026006A"/>
    <w:rsid w:val="002655BB"/>
    <w:rsid w:val="00270404"/>
    <w:rsid w:val="00280683"/>
    <w:rsid w:val="00283E70"/>
    <w:rsid w:val="00291E03"/>
    <w:rsid w:val="0029264C"/>
    <w:rsid w:val="002945E2"/>
    <w:rsid w:val="00297122"/>
    <w:rsid w:val="002A20D1"/>
    <w:rsid w:val="002A3D15"/>
    <w:rsid w:val="002A79AD"/>
    <w:rsid w:val="002C2126"/>
    <w:rsid w:val="002C4662"/>
    <w:rsid w:val="002E1585"/>
    <w:rsid w:val="002E1B71"/>
    <w:rsid w:val="002E31D2"/>
    <w:rsid w:val="002E67DA"/>
    <w:rsid w:val="002F088E"/>
    <w:rsid w:val="002F5BCF"/>
    <w:rsid w:val="002F6BFD"/>
    <w:rsid w:val="00304205"/>
    <w:rsid w:val="003118A3"/>
    <w:rsid w:val="003158EB"/>
    <w:rsid w:val="00346083"/>
    <w:rsid w:val="00347CE7"/>
    <w:rsid w:val="00353278"/>
    <w:rsid w:val="00357C76"/>
    <w:rsid w:val="00372BF7"/>
    <w:rsid w:val="00374286"/>
    <w:rsid w:val="00374710"/>
    <w:rsid w:val="00385CAE"/>
    <w:rsid w:val="00391646"/>
    <w:rsid w:val="003B0245"/>
    <w:rsid w:val="003B6CC3"/>
    <w:rsid w:val="003C37FE"/>
    <w:rsid w:val="003C54A5"/>
    <w:rsid w:val="003C64EF"/>
    <w:rsid w:val="003D1A59"/>
    <w:rsid w:val="003D36C3"/>
    <w:rsid w:val="003F59FD"/>
    <w:rsid w:val="00401115"/>
    <w:rsid w:val="0041411E"/>
    <w:rsid w:val="00420A74"/>
    <w:rsid w:val="0042298E"/>
    <w:rsid w:val="00424FB4"/>
    <w:rsid w:val="0042639D"/>
    <w:rsid w:val="00426C80"/>
    <w:rsid w:val="00427BA2"/>
    <w:rsid w:val="00432DF6"/>
    <w:rsid w:val="00434DEE"/>
    <w:rsid w:val="00437AE4"/>
    <w:rsid w:val="004408FF"/>
    <w:rsid w:val="00446BCE"/>
    <w:rsid w:val="00450EF8"/>
    <w:rsid w:val="00451EE5"/>
    <w:rsid w:val="00452F0B"/>
    <w:rsid w:val="00457B26"/>
    <w:rsid w:val="00460163"/>
    <w:rsid w:val="00461FB5"/>
    <w:rsid w:val="0046615C"/>
    <w:rsid w:val="0047559B"/>
    <w:rsid w:val="00481DB5"/>
    <w:rsid w:val="004951D5"/>
    <w:rsid w:val="00495582"/>
    <w:rsid w:val="00496611"/>
    <w:rsid w:val="004A5F1D"/>
    <w:rsid w:val="004A6474"/>
    <w:rsid w:val="004B0DD3"/>
    <w:rsid w:val="004B30C0"/>
    <w:rsid w:val="004C074E"/>
    <w:rsid w:val="004C2A17"/>
    <w:rsid w:val="004D1C5B"/>
    <w:rsid w:val="004E3AA3"/>
    <w:rsid w:val="004E68B1"/>
    <w:rsid w:val="004F0D40"/>
    <w:rsid w:val="004F1695"/>
    <w:rsid w:val="004F5BC7"/>
    <w:rsid w:val="00510463"/>
    <w:rsid w:val="00535436"/>
    <w:rsid w:val="00547960"/>
    <w:rsid w:val="0055207F"/>
    <w:rsid w:val="00555878"/>
    <w:rsid w:val="00557DFB"/>
    <w:rsid w:val="005624F2"/>
    <w:rsid w:val="00575726"/>
    <w:rsid w:val="005852A5"/>
    <w:rsid w:val="0059108C"/>
    <w:rsid w:val="00591D07"/>
    <w:rsid w:val="00592B27"/>
    <w:rsid w:val="0059737B"/>
    <w:rsid w:val="005C4899"/>
    <w:rsid w:val="005D5D37"/>
    <w:rsid w:val="005E71F9"/>
    <w:rsid w:val="005F1EB1"/>
    <w:rsid w:val="00626EC5"/>
    <w:rsid w:val="00637D31"/>
    <w:rsid w:val="00650594"/>
    <w:rsid w:val="0065400C"/>
    <w:rsid w:val="00660808"/>
    <w:rsid w:val="006613EA"/>
    <w:rsid w:val="00671391"/>
    <w:rsid w:val="00671A64"/>
    <w:rsid w:val="00675AC8"/>
    <w:rsid w:val="00677FBB"/>
    <w:rsid w:val="0068064F"/>
    <w:rsid w:val="006955A2"/>
    <w:rsid w:val="0069573C"/>
    <w:rsid w:val="006E1390"/>
    <w:rsid w:val="006E47AB"/>
    <w:rsid w:val="006E5569"/>
    <w:rsid w:val="006F6986"/>
    <w:rsid w:val="00700096"/>
    <w:rsid w:val="00701B98"/>
    <w:rsid w:val="00723DBF"/>
    <w:rsid w:val="00750C26"/>
    <w:rsid w:val="00752C5A"/>
    <w:rsid w:val="00782C22"/>
    <w:rsid w:val="00794003"/>
    <w:rsid w:val="00796FF8"/>
    <w:rsid w:val="007A1E20"/>
    <w:rsid w:val="007C4876"/>
    <w:rsid w:val="007D2180"/>
    <w:rsid w:val="007E2981"/>
    <w:rsid w:val="007E4552"/>
    <w:rsid w:val="007E77F9"/>
    <w:rsid w:val="007F2335"/>
    <w:rsid w:val="008002A8"/>
    <w:rsid w:val="00804D1C"/>
    <w:rsid w:val="00805CE5"/>
    <w:rsid w:val="0081458D"/>
    <w:rsid w:val="008175D9"/>
    <w:rsid w:val="00830237"/>
    <w:rsid w:val="00831C9D"/>
    <w:rsid w:val="008400F1"/>
    <w:rsid w:val="008407C0"/>
    <w:rsid w:val="0085678E"/>
    <w:rsid w:val="008600A8"/>
    <w:rsid w:val="00863CB1"/>
    <w:rsid w:val="008840B1"/>
    <w:rsid w:val="008A26C4"/>
    <w:rsid w:val="008A2DF3"/>
    <w:rsid w:val="008C156F"/>
    <w:rsid w:val="008E4257"/>
    <w:rsid w:val="008E6BB5"/>
    <w:rsid w:val="008E75E1"/>
    <w:rsid w:val="00902A5E"/>
    <w:rsid w:val="009140DD"/>
    <w:rsid w:val="00917247"/>
    <w:rsid w:val="00923F3A"/>
    <w:rsid w:val="009314D8"/>
    <w:rsid w:val="00937733"/>
    <w:rsid w:val="00956A10"/>
    <w:rsid w:val="00970D2B"/>
    <w:rsid w:val="00975814"/>
    <w:rsid w:val="00981C0F"/>
    <w:rsid w:val="009844C5"/>
    <w:rsid w:val="00993C7F"/>
    <w:rsid w:val="009A5A09"/>
    <w:rsid w:val="009B3176"/>
    <w:rsid w:val="009C7DA3"/>
    <w:rsid w:val="009D2299"/>
    <w:rsid w:val="009F00EA"/>
    <w:rsid w:val="009F19E8"/>
    <w:rsid w:val="009F60E6"/>
    <w:rsid w:val="00A114C6"/>
    <w:rsid w:val="00A121B8"/>
    <w:rsid w:val="00A22F21"/>
    <w:rsid w:val="00A24721"/>
    <w:rsid w:val="00A4375E"/>
    <w:rsid w:val="00A444F1"/>
    <w:rsid w:val="00A65E16"/>
    <w:rsid w:val="00A71364"/>
    <w:rsid w:val="00A76DD8"/>
    <w:rsid w:val="00A817D3"/>
    <w:rsid w:val="00A85C59"/>
    <w:rsid w:val="00A90C8C"/>
    <w:rsid w:val="00A93E20"/>
    <w:rsid w:val="00AA19D6"/>
    <w:rsid w:val="00AA2331"/>
    <w:rsid w:val="00AB16D4"/>
    <w:rsid w:val="00AC0AA9"/>
    <w:rsid w:val="00AC4F33"/>
    <w:rsid w:val="00AC5F7B"/>
    <w:rsid w:val="00AD16C6"/>
    <w:rsid w:val="00AF1A4C"/>
    <w:rsid w:val="00AF3963"/>
    <w:rsid w:val="00AF5FA6"/>
    <w:rsid w:val="00B152D8"/>
    <w:rsid w:val="00B2116C"/>
    <w:rsid w:val="00B3310C"/>
    <w:rsid w:val="00B340A7"/>
    <w:rsid w:val="00B347A8"/>
    <w:rsid w:val="00B534E4"/>
    <w:rsid w:val="00B629EF"/>
    <w:rsid w:val="00B62A18"/>
    <w:rsid w:val="00B62EFF"/>
    <w:rsid w:val="00B86933"/>
    <w:rsid w:val="00B91508"/>
    <w:rsid w:val="00BA5FC5"/>
    <w:rsid w:val="00BB7813"/>
    <w:rsid w:val="00BC0408"/>
    <w:rsid w:val="00BC7B67"/>
    <w:rsid w:val="00BD05E9"/>
    <w:rsid w:val="00BD6674"/>
    <w:rsid w:val="00BE48A5"/>
    <w:rsid w:val="00BE5474"/>
    <w:rsid w:val="00BE613C"/>
    <w:rsid w:val="00BE6736"/>
    <w:rsid w:val="00BF6F86"/>
    <w:rsid w:val="00C15D27"/>
    <w:rsid w:val="00C178E5"/>
    <w:rsid w:val="00C22296"/>
    <w:rsid w:val="00C31C32"/>
    <w:rsid w:val="00C442B6"/>
    <w:rsid w:val="00C73F0E"/>
    <w:rsid w:val="00C80C25"/>
    <w:rsid w:val="00C80F8C"/>
    <w:rsid w:val="00C85271"/>
    <w:rsid w:val="00C954B8"/>
    <w:rsid w:val="00CA524F"/>
    <w:rsid w:val="00CD13E0"/>
    <w:rsid w:val="00CE106C"/>
    <w:rsid w:val="00CE4772"/>
    <w:rsid w:val="00CE67A0"/>
    <w:rsid w:val="00CE75C6"/>
    <w:rsid w:val="00D1362A"/>
    <w:rsid w:val="00D13DA5"/>
    <w:rsid w:val="00D1686F"/>
    <w:rsid w:val="00D27FF8"/>
    <w:rsid w:val="00D30950"/>
    <w:rsid w:val="00D41E30"/>
    <w:rsid w:val="00D506C0"/>
    <w:rsid w:val="00D50814"/>
    <w:rsid w:val="00D64922"/>
    <w:rsid w:val="00D64C6B"/>
    <w:rsid w:val="00D9758C"/>
    <w:rsid w:val="00D97D2C"/>
    <w:rsid w:val="00DB6003"/>
    <w:rsid w:val="00DD3254"/>
    <w:rsid w:val="00DE60D3"/>
    <w:rsid w:val="00DE7C8C"/>
    <w:rsid w:val="00DF5AD9"/>
    <w:rsid w:val="00E01990"/>
    <w:rsid w:val="00E046D6"/>
    <w:rsid w:val="00E06526"/>
    <w:rsid w:val="00E11DA2"/>
    <w:rsid w:val="00E14F05"/>
    <w:rsid w:val="00E20E6E"/>
    <w:rsid w:val="00E26CBA"/>
    <w:rsid w:val="00E30D20"/>
    <w:rsid w:val="00E476BA"/>
    <w:rsid w:val="00E505F8"/>
    <w:rsid w:val="00E518BB"/>
    <w:rsid w:val="00E60186"/>
    <w:rsid w:val="00E667E0"/>
    <w:rsid w:val="00E76DBE"/>
    <w:rsid w:val="00E86B9F"/>
    <w:rsid w:val="00EA0159"/>
    <w:rsid w:val="00EA31FD"/>
    <w:rsid w:val="00EA462B"/>
    <w:rsid w:val="00EA7FCD"/>
    <w:rsid w:val="00EC729C"/>
    <w:rsid w:val="00EF01FD"/>
    <w:rsid w:val="00EF0D59"/>
    <w:rsid w:val="00EF2C50"/>
    <w:rsid w:val="00EF30D4"/>
    <w:rsid w:val="00F01E99"/>
    <w:rsid w:val="00F10339"/>
    <w:rsid w:val="00F173B7"/>
    <w:rsid w:val="00F30CD3"/>
    <w:rsid w:val="00F34EFD"/>
    <w:rsid w:val="00F35CB4"/>
    <w:rsid w:val="00F74F4A"/>
    <w:rsid w:val="00F770B8"/>
    <w:rsid w:val="00F817D6"/>
    <w:rsid w:val="00F86D12"/>
    <w:rsid w:val="00F93602"/>
    <w:rsid w:val="00F94437"/>
    <w:rsid w:val="00FA16D4"/>
    <w:rsid w:val="00FA6175"/>
    <w:rsid w:val="00FB6414"/>
    <w:rsid w:val="00FC08F7"/>
    <w:rsid w:val="00FD29E0"/>
    <w:rsid w:val="00FF1989"/>
    <w:rsid w:val="00FF50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04FD1"/>
  <w15:docId w15:val="{4B72D6F3-FE4B-4B66-A401-5DE2D8BE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5F8"/>
    <w:rPr>
      <w:rFonts w:eastAsia="Times New Roman" w:cs="Arial"/>
      <w:sz w:val="24"/>
      <w:lang w:eastAsia="en-US"/>
    </w:rPr>
  </w:style>
  <w:style w:type="paragraph" w:styleId="Heading1">
    <w:name w:val="heading 1"/>
    <w:basedOn w:val="Normal"/>
    <w:next w:val="Normal"/>
    <w:link w:val="Heading1Char"/>
    <w:uiPriority w:val="9"/>
    <w:qFormat/>
    <w:rsid w:val="00084F5E"/>
    <w:pPr>
      <w:keepNext/>
      <w:keepLines/>
      <w:spacing w:before="240"/>
      <w:outlineLvl w:val="0"/>
    </w:pPr>
    <w:rPr>
      <w:rFonts w:ascii="Calibri Light" w:hAnsi="Calibri Light" w:cs="Times New Roman"/>
      <w:color w:val="2F5496"/>
      <w:sz w:val="32"/>
      <w:szCs w:val="32"/>
    </w:rPr>
  </w:style>
  <w:style w:type="paragraph" w:styleId="Heading6">
    <w:name w:val="heading 6"/>
    <w:basedOn w:val="Normal"/>
    <w:next w:val="Normal"/>
    <w:link w:val="Heading6Char"/>
    <w:qFormat/>
    <w:rsid w:val="009F19E8"/>
    <w:pPr>
      <w:keepNext/>
      <w:tabs>
        <w:tab w:val="left" w:pos="1134"/>
      </w:tabs>
      <w:outlineLvl w:val="5"/>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E67DA"/>
    <w:pPr>
      <w:tabs>
        <w:tab w:val="center" w:pos="4513"/>
        <w:tab w:val="right" w:pos="9026"/>
      </w:tabs>
    </w:pPr>
  </w:style>
  <w:style w:type="character" w:customStyle="1" w:styleId="HeaderChar">
    <w:name w:val="Header Char"/>
    <w:link w:val="Header"/>
    <w:uiPriority w:val="99"/>
    <w:rsid w:val="002E67DA"/>
    <w:rPr>
      <w:rFonts w:eastAsia="Times New Roman" w:cs="Arial"/>
      <w:sz w:val="24"/>
      <w:lang w:eastAsia="en-US"/>
    </w:rPr>
  </w:style>
  <w:style w:type="paragraph" w:styleId="Footer">
    <w:name w:val="footer"/>
    <w:basedOn w:val="Normal"/>
    <w:link w:val="FooterChar"/>
    <w:uiPriority w:val="99"/>
    <w:unhideWhenUsed/>
    <w:rsid w:val="002E67DA"/>
    <w:pPr>
      <w:tabs>
        <w:tab w:val="center" w:pos="4513"/>
        <w:tab w:val="right" w:pos="9026"/>
      </w:tabs>
    </w:pPr>
  </w:style>
  <w:style w:type="character" w:customStyle="1" w:styleId="FooterChar">
    <w:name w:val="Footer Char"/>
    <w:link w:val="Footer"/>
    <w:uiPriority w:val="99"/>
    <w:rsid w:val="002E67DA"/>
    <w:rPr>
      <w:rFonts w:eastAsia="Times New Roman" w:cs="Arial"/>
      <w:sz w:val="24"/>
      <w:lang w:eastAsia="en-US"/>
    </w:rPr>
  </w:style>
  <w:style w:type="paragraph" w:styleId="BalloonText">
    <w:name w:val="Balloon Text"/>
    <w:basedOn w:val="Normal"/>
    <w:link w:val="BalloonTextChar"/>
    <w:uiPriority w:val="99"/>
    <w:semiHidden/>
    <w:unhideWhenUsed/>
    <w:rsid w:val="002E67DA"/>
    <w:rPr>
      <w:rFonts w:ascii="Tahoma" w:hAnsi="Tahoma" w:cs="Tahoma"/>
      <w:sz w:val="16"/>
      <w:szCs w:val="16"/>
    </w:rPr>
  </w:style>
  <w:style w:type="character" w:customStyle="1" w:styleId="BalloonTextChar">
    <w:name w:val="Balloon Text Char"/>
    <w:link w:val="BalloonText"/>
    <w:uiPriority w:val="99"/>
    <w:semiHidden/>
    <w:rsid w:val="002E67DA"/>
    <w:rPr>
      <w:rFonts w:ascii="Tahoma" w:eastAsia="Times New Roman" w:hAnsi="Tahoma" w:cs="Tahoma"/>
      <w:sz w:val="16"/>
      <w:szCs w:val="16"/>
      <w:lang w:eastAsia="en-US"/>
    </w:rPr>
  </w:style>
  <w:style w:type="paragraph" w:styleId="ListParagraph">
    <w:name w:val="List Paragraph"/>
    <w:basedOn w:val="Normal"/>
    <w:uiPriority w:val="34"/>
    <w:qFormat/>
    <w:rsid w:val="00592B27"/>
    <w:pPr>
      <w:ind w:left="720"/>
      <w:contextualSpacing/>
      <w:jc w:val="center"/>
    </w:pPr>
    <w:rPr>
      <w:rFonts w:eastAsia="Calibri"/>
      <w:szCs w:val="24"/>
    </w:rPr>
  </w:style>
  <w:style w:type="paragraph" w:styleId="PlainText">
    <w:name w:val="Plain Text"/>
    <w:basedOn w:val="Normal"/>
    <w:link w:val="PlainTextChar"/>
    <w:uiPriority w:val="99"/>
    <w:unhideWhenUsed/>
    <w:rsid w:val="00592B27"/>
    <w:rPr>
      <w:rFonts w:ascii="Consolas" w:eastAsia="Calibri" w:hAnsi="Consolas" w:cs="Times New Roman"/>
      <w:sz w:val="21"/>
      <w:szCs w:val="21"/>
      <w:lang w:eastAsia="en-GB"/>
    </w:rPr>
  </w:style>
  <w:style w:type="character" w:customStyle="1" w:styleId="PlainTextChar">
    <w:name w:val="Plain Text Char"/>
    <w:link w:val="PlainText"/>
    <w:uiPriority w:val="99"/>
    <w:rsid w:val="00592B27"/>
    <w:rPr>
      <w:rFonts w:ascii="Consolas" w:eastAsia="Calibri" w:hAnsi="Consolas"/>
      <w:sz w:val="21"/>
      <w:szCs w:val="21"/>
    </w:rPr>
  </w:style>
  <w:style w:type="character" w:styleId="Hyperlink">
    <w:name w:val="Hyperlink"/>
    <w:uiPriority w:val="99"/>
    <w:unhideWhenUsed/>
    <w:rsid w:val="00E06526"/>
    <w:rPr>
      <w:color w:val="0000FF"/>
      <w:u w:val="single"/>
    </w:rPr>
  </w:style>
  <w:style w:type="character" w:customStyle="1" w:styleId="Heading6Char">
    <w:name w:val="Heading 6 Char"/>
    <w:link w:val="Heading6"/>
    <w:rsid w:val="009F19E8"/>
    <w:rPr>
      <w:rFonts w:ascii="Times New Roman" w:eastAsia="Times New Roman" w:hAnsi="Times New Roman"/>
      <w:b/>
      <w:sz w:val="24"/>
      <w:lang w:eastAsia="en-US"/>
    </w:rPr>
  </w:style>
  <w:style w:type="paragraph" w:styleId="BodyText">
    <w:name w:val="Body Text"/>
    <w:basedOn w:val="Normal"/>
    <w:link w:val="BodyTextChar"/>
    <w:rsid w:val="005852A5"/>
    <w:rPr>
      <w:rFonts w:ascii="Times New Roman" w:hAnsi="Times New Roman" w:cs="Times New Roman"/>
      <w:sz w:val="26"/>
    </w:rPr>
  </w:style>
  <w:style w:type="character" w:customStyle="1" w:styleId="BodyTextChar">
    <w:name w:val="Body Text Char"/>
    <w:link w:val="BodyText"/>
    <w:rsid w:val="005852A5"/>
    <w:rPr>
      <w:rFonts w:ascii="Times New Roman" w:eastAsia="Times New Roman" w:hAnsi="Times New Roman"/>
      <w:sz w:val="26"/>
      <w:lang w:eastAsia="en-US"/>
    </w:rPr>
  </w:style>
  <w:style w:type="character" w:customStyle="1" w:styleId="Heading1Char">
    <w:name w:val="Heading 1 Char"/>
    <w:link w:val="Heading1"/>
    <w:uiPriority w:val="9"/>
    <w:rsid w:val="00084F5E"/>
    <w:rPr>
      <w:rFonts w:ascii="Calibri Light" w:eastAsia="Times New Roman" w:hAnsi="Calibri Light"/>
      <w:color w:val="2F5496"/>
      <w:sz w:val="32"/>
      <w:szCs w:val="32"/>
      <w:lang w:eastAsia="en-US"/>
    </w:rPr>
  </w:style>
  <w:style w:type="paragraph" w:styleId="NoSpacing">
    <w:name w:val="No Spacing"/>
    <w:uiPriority w:val="1"/>
    <w:qFormat/>
    <w:rsid w:val="00424FB4"/>
    <w:rPr>
      <w:rFonts w:ascii="Calibri" w:hAnsi="Calibri" w:cs="Arial"/>
      <w:sz w:val="22"/>
      <w:szCs w:val="22"/>
      <w:lang w:eastAsia="en-US"/>
    </w:rPr>
  </w:style>
  <w:style w:type="table" w:customStyle="1" w:styleId="TableGrid1">
    <w:name w:val="Table Grid1"/>
    <w:basedOn w:val="TableNormal"/>
    <w:next w:val="TableGrid"/>
    <w:uiPriority w:val="39"/>
    <w:rsid w:val="003B6CC3"/>
    <w:rPr>
      <w:rFonts w:ascii="Calibri" w:hAnsi="Calibri" w:cs="Arial"/>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0C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56F"/>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7C4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9708">
      <w:bodyDiv w:val="1"/>
      <w:marLeft w:val="0"/>
      <w:marRight w:val="0"/>
      <w:marTop w:val="0"/>
      <w:marBottom w:val="0"/>
      <w:divBdr>
        <w:top w:val="none" w:sz="0" w:space="0" w:color="auto"/>
        <w:left w:val="none" w:sz="0" w:space="0" w:color="auto"/>
        <w:bottom w:val="none" w:sz="0" w:space="0" w:color="auto"/>
        <w:right w:val="none" w:sz="0" w:space="0" w:color="auto"/>
      </w:divBdr>
    </w:div>
    <w:div w:id="324011374">
      <w:bodyDiv w:val="1"/>
      <w:marLeft w:val="0"/>
      <w:marRight w:val="0"/>
      <w:marTop w:val="0"/>
      <w:marBottom w:val="0"/>
      <w:divBdr>
        <w:top w:val="none" w:sz="0" w:space="0" w:color="auto"/>
        <w:left w:val="none" w:sz="0" w:space="0" w:color="auto"/>
        <w:bottom w:val="none" w:sz="0" w:space="0" w:color="auto"/>
        <w:right w:val="none" w:sz="0" w:space="0" w:color="auto"/>
      </w:divBdr>
    </w:div>
    <w:div w:id="384260435">
      <w:bodyDiv w:val="1"/>
      <w:marLeft w:val="0"/>
      <w:marRight w:val="0"/>
      <w:marTop w:val="0"/>
      <w:marBottom w:val="0"/>
      <w:divBdr>
        <w:top w:val="none" w:sz="0" w:space="0" w:color="auto"/>
        <w:left w:val="none" w:sz="0" w:space="0" w:color="auto"/>
        <w:bottom w:val="none" w:sz="0" w:space="0" w:color="auto"/>
        <w:right w:val="none" w:sz="0" w:space="0" w:color="auto"/>
      </w:divBdr>
    </w:div>
    <w:div w:id="453983549">
      <w:bodyDiv w:val="1"/>
      <w:marLeft w:val="0"/>
      <w:marRight w:val="0"/>
      <w:marTop w:val="0"/>
      <w:marBottom w:val="0"/>
      <w:divBdr>
        <w:top w:val="none" w:sz="0" w:space="0" w:color="auto"/>
        <w:left w:val="none" w:sz="0" w:space="0" w:color="auto"/>
        <w:bottom w:val="none" w:sz="0" w:space="0" w:color="auto"/>
        <w:right w:val="none" w:sz="0" w:space="0" w:color="auto"/>
      </w:divBdr>
    </w:div>
    <w:div w:id="978922578">
      <w:bodyDiv w:val="1"/>
      <w:marLeft w:val="0"/>
      <w:marRight w:val="0"/>
      <w:marTop w:val="0"/>
      <w:marBottom w:val="0"/>
      <w:divBdr>
        <w:top w:val="none" w:sz="0" w:space="0" w:color="auto"/>
        <w:left w:val="none" w:sz="0" w:space="0" w:color="auto"/>
        <w:bottom w:val="none" w:sz="0" w:space="0" w:color="auto"/>
        <w:right w:val="none" w:sz="0" w:space="0" w:color="auto"/>
      </w:divBdr>
    </w:div>
    <w:div w:id="1277058964">
      <w:bodyDiv w:val="1"/>
      <w:marLeft w:val="0"/>
      <w:marRight w:val="0"/>
      <w:marTop w:val="0"/>
      <w:marBottom w:val="0"/>
      <w:divBdr>
        <w:top w:val="none" w:sz="0" w:space="0" w:color="auto"/>
        <w:left w:val="none" w:sz="0" w:space="0" w:color="auto"/>
        <w:bottom w:val="none" w:sz="0" w:space="0" w:color="auto"/>
        <w:right w:val="none" w:sz="0" w:space="0" w:color="auto"/>
      </w:divBdr>
    </w:div>
    <w:div w:id="1441024262">
      <w:bodyDiv w:val="1"/>
      <w:marLeft w:val="0"/>
      <w:marRight w:val="0"/>
      <w:marTop w:val="0"/>
      <w:marBottom w:val="0"/>
      <w:divBdr>
        <w:top w:val="none" w:sz="0" w:space="0" w:color="auto"/>
        <w:left w:val="none" w:sz="0" w:space="0" w:color="auto"/>
        <w:bottom w:val="none" w:sz="0" w:space="0" w:color="auto"/>
        <w:right w:val="none" w:sz="0" w:space="0" w:color="auto"/>
      </w:divBdr>
    </w:div>
    <w:div w:id="1741828658">
      <w:bodyDiv w:val="1"/>
      <w:marLeft w:val="0"/>
      <w:marRight w:val="0"/>
      <w:marTop w:val="0"/>
      <w:marBottom w:val="0"/>
      <w:divBdr>
        <w:top w:val="none" w:sz="0" w:space="0" w:color="auto"/>
        <w:left w:val="none" w:sz="0" w:space="0" w:color="auto"/>
        <w:bottom w:val="none" w:sz="0" w:space="0" w:color="auto"/>
        <w:right w:val="none" w:sz="0" w:space="0" w:color="auto"/>
      </w:divBdr>
    </w:div>
    <w:div w:id="1804496363">
      <w:bodyDiv w:val="1"/>
      <w:marLeft w:val="0"/>
      <w:marRight w:val="0"/>
      <w:marTop w:val="0"/>
      <w:marBottom w:val="0"/>
      <w:divBdr>
        <w:top w:val="none" w:sz="0" w:space="0" w:color="auto"/>
        <w:left w:val="none" w:sz="0" w:space="0" w:color="auto"/>
        <w:bottom w:val="none" w:sz="0" w:space="0" w:color="auto"/>
        <w:right w:val="none" w:sz="0" w:space="0" w:color="auto"/>
      </w:divBdr>
    </w:div>
    <w:div w:id="202258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inegrants@hblb.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nesurveillance@vet.cam.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mes.crowhurst@neh.u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given@britishhorseracing.com" TargetMode="External"/><Relationship Id="rId5" Type="http://schemas.openxmlformats.org/officeDocument/2006/relationships/numbering" Target="numbering.xml"/><Relationship Id="rId15" Type="http://schemas.openxmlformats.org/officeDocument/2006/relationships/hyperlink" Target="mailto:info@roa.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acehorsetrain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ca0b89-fefd-4f9c-a4be-cb414deff525">
      <Terms xmlns="http://schemas.microsoft.com/office/infopath/2007/PartnerControls"/>
    </lcf76f155ced4ddcb4097134ff3c332f>
    <TaxCatchAll xmlns="a563f874-5f8d-4abc-b1ba-8e4b7929c6a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03ED1C5635EB4986077F60DF8F3BF0" ma:contentTypeVersion="14" ma:contentTypeDescription="Create a new document." ma:contentTypeScope="" ma:versionID="7bb2b191bb34c88314106ac8d09c734e">
  <xsd:schema xmlns:xsd="http://www.w3.org/2001/XMLSchema" xmlns:xs="http://www.w3.org/2001/XMLSchema" xmlns:p="http://schemas.microsoft.com/office/2006/metadata/properties" xmlns:ns2="ecca0b89-fefd-4f9c-a4be-cb414deff525" xmlns:ns3="a563f874-5f8d-4abc-b1ba-8e4b7929c6ae" targetNamespace="http://schemas.microsoft.com/office/2006/metadata/properties" ma:root="true" ma:fieldsID="6ab2b64aecbde655945161c6a1cffdca" ns2:_="" ns3:_="">
    <xsd:import namespace="ecca0b89-fefd-4f9c-a4be-cb414deff525"/>
    <xsd:import namespace="a563f874-5f8d-4abc-b1ba-8e4b7929c6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a0b89-fefd-4f9c-a4be-cb414deff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247621-3eb1-435c-800c-ca77d8bc3f6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63f874-5f8d-4abc-b1ba-8e4b7929c6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0d7a45-c3a8-48a5-a678-49d2f1da7b8f}" ma:internalName="TaxCatchAll" ma:showField="CatchAllData" ma:web="a563f874-5f8d-4abc-b1ba-8e4b7929c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0EDF2EF-4CCF-4CA7-8310-E2DFF03B7DE7}">
  <ds:schemaRefs>
    <ds:schemaRef ds:uri="http://schemas.microsoft.com/office/2006/metadata/properties"/>
    <ds:schemaRef ds:uri="http://schemas.microsoft.com/office/infopath/2007/PartnerControls"/>
    <ds:schemaRef ds:uri="ecca0b89-fefd-4f9c-a4be-cb414deff525"/>
    <ds:schemaRef ds:uri="a563f874-5f8d-4abc-b1ba-8e4b7929c6ae"/>
  </ds:schemaRefs>
</ds:datastoreItem>
</file>

<file path=customXml/itemProps2.xml><?xml version="1.0" encoding="utf-8"?>
<ds:datastoreItem xmlns:ds="http://schemas.openxmlformats.org/officeDocument/2006/customXml" ds:itemID="{33B39EF8-ED7E-48FC-B6F5-896298E3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a0b89-fefd-4f9c-a4be-cb414deff525"/>
    <ds:schemaRef ds:uri="a563f874-5f8d-4abc-b1ba-8e4b7929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313DB-A98E-45A6-9545-03E8EAEBB82F}">
  <ds:schemaRefs>
    <ds:schemaRef ds:uri="http://schemas.microsoft.com/sharepoint/v3/contenttype/forms"/>
  </ds:schemaRefs>
</ds:datastoreItem>
</file>

<file path=customXml/itemProps4.xml><?xml version="1.0" encoding="utf-8"?>
<ds:datastoreItem xmlns:ds="http://schemas.openxmlformats.org/officeDocument/2006/customXml" ds:itemID="{00D64507-E46E-4995-81D7-A91D820C05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Links>
    <vt:vector size="48" baseType="variant">
      <vt:variant>
        <vt:i4>5439534</vt:i4>
      </vt:variant>
      <vt:variant>
        <vt:i4>21</vt:i4>
      </vt:variant>
      <vt:variant>
        <vt:i4>0</vt:i4>
      </vt:variant>
      <vt:variant>
        <vt:i4>5</vt:i4>
      </vt:variant>
      <vt:variant>
        <vt:lpwstr>mailto:EquineGrants@hblb.org.uk</vt:lpwstr>
      </vt:variant>
      <vt:variant>
        <vt:lpwstr/>
      </vt:variant>
      <vt:variant>
        <vt:i4>4194424</vt:i4>
      </vt:variant>
      <vt:variant>
        <vt:i4>18</vt:i4>
      </vt:variant>
      <vt:variant>
        <vt:i4>0</vt:i4>
      </vt:variant>
      <vt:variant>
        <vt:i4>5</vt:i4>
      </vt:variant>
      <vt:variant>
        <vt:lpwstr>mailto:equine.grants@hblb.org.uk</vt:lpwstr>
      </vt:variant>
      <vt:variant>
        <vt:lpwstr/>
      </vt:variant>
      <vt:variant>
        <vt:i4>4587616</vt:i4>
      </vt:variant>
      <vt:variant>
        <vt:i4>15</vt:i4>
      </vt:variant>
      <vt:variant>
        <vt:i4>0</vt:i4>
      </vt:variant>
      <vt:variant>
        <vt:i4>5</vt:i4>
      </vt:variant>
      <vt:variant>
        <vt:lpwstr>mailto:james.crowhurst@neh.uk.com</vt:lpwstr>
      </vt:variant>
      <vt:variant>
        <vt:lpwstr/>
      </vt:variant>
      <vt:variant>
        <vt:i4>7733269</vt:i4>
      </vt:variant>
      <vt:variant>
        <vt:i4>12</vt:i4>
      </vt:variant>
      <vt:variant>
        <vt:i4>0</vt:i4>
      </vt:variant>
      <vt:variant>
        <vt:i4>5</vt:i4>
      </vt:variant>
      <vt:variant>
        <vt:lpwstr>mailto:info@roa.co.uk</vt:lpwstr>
      </vt:variant>
      <vt:variant>
        <vt:lpwstr/>
      </vt:variant>
      <vt:variant>
        <vt:i4>6291527</vt:i4>
      </vt:variant>
      <vt:variant>
        <vt:i4>9</vt:i4>
      </vt:variant>
      <vt:variant>
        <vt:i4>0</vt:i4>
      </vt:variant>
      <vt:variant>
        <vt:i4>5</vt:i4>
      </vt:variant>
      <vt:variant>
        <vt:lpwstr>mailto:info@racehorsetrainers.org</vt:lpwstr>
      </vt:variant>
      <vt:variant>
        <vt:lpwstr/>
      </vt:variant>
      <vt:variant>
        <vt:i4>5439534</vt:i4>
      </vt:variant>
      <vt:variant>
        <vt:i4>6</vt:i4>
      </vt:variant>
      <vt:variant>
        <vt:i4>0</vt:i4>
      </vt:variant>
      <vt:variant>
        <vt:i4>5</vt:i4>
      </vt:variant>
      <vt:variant>
        <vt:lpwstr>mailto:equinegrants@hblb.org.uk</vt:lpwstr>
      </vt:variant>
      <vt:variant>
        <vt:lpwstr/>
      </vt:variant>
      <vt:variant>
        <vt:i4>4456569</vt:i4>
      </vt:variant>
      <vt:variant>
        <vt:i4>3</vt:i4>
      </vt:variant>
      <vt:variant>
        <vt:i4>0</vt:i4>
      </vt:variant>
      <vt:variant>
        <vt:i4>5</vt:i4>
      </vt:variant>
      <vt:variant>
        <vt:lpwstr>mailto:equinesurveillance@vet.cam.ac.uk</vt:lpwstr>
      </vt:variant>
      <vt:variant>
        <vt:lpwstr/>
      </vt:variant>
      <vt:variant>
        <vt:i4>3604511</vt:i4>
      </vt:variant>
      <vt:variant>
        <vt:i4>0</vt:i4>
      </vt:variant>
      <vt:variant>
        <vt:i4>0</vt:i4>
      </vt:variant>
      <vt:variant>
        <vt:i4>5</vt:i4>
      </vt:variant>
      <vt:variant>
        <vt:lpwstr>mailto:equine@britishhorseracing.com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Rob Bailey</cp:lastModifiedBy>
  <cp:revision>2</cp:revision>
  <cp:lastPrinted>2024-07-12T08:44:00Z</cp:lastPrinted>
  <dcterms:created xsi:type="dcterms:W3CDTF">2024-09-17T15:54:00Z</dcterms:created>
  <dcterms:modified xsi:type="dcterms:W3CDTF">2024-09-17T15:54:00Z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Annie Dodd</vt:lpwstr>
  </property>
  <property fmtid="{D5CDD505-2E9C-101B-9397-08002B2CF9AE}" pid="3" name="Order">
    <vt:lpwstr>587600.000000000</vt:lpwstr>
  </property>
  <property fmtid="{D5CDD505-2E9C-101B-9397-08002B2CF9AE}" pid="4" name="display_urn:schemas-microsoft-com:office:office#Author">
    <vt:lpwstr>Annie Dodd</vt:lpwstr>
  </property>
</Properties>
</file>